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8EEE17">
      <w:pPr>
        <w:widowControl/>
        <w:jc w:val="left"/>
        <w:rPr>
          <w:rFonts w:hint="default" w:ascii="Times New Roman" w:hAnsi="Times New Roman" w:eastAsia="方正黑体_GBK" w:cs="Times New Roman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黑体_GBK" w:cs="Times New Roman"/>
          <w:color w:val="000000" w:themeColor="text1"/>
          <w:kern w:val="0"/>
          <w:sz w:val="32"/>
          <w:szCs w:val="30"/>
          <w14:textFill>
            <w14:solidFill>
              <w14:schemeClr w14:val="tx1"/>
            </w14:solidFill>
          </w14:textFill>
        </w:rPr>
        <w:t>附件1</w:t>
      </w:r>
    </w:p>
    <w:p w14:paraId="6EAE1BCA">
      <w:pPr>
        <w:spacing w:line="594" w:lineRule="exact"/>
        <w:jc w:val="center"/>
        <w:rPr>
          <w:rFonts w:hint="default" w:ascii="Times New Roman" w:hAnsi="Times New Roman" w:eastAsia="方正小标宋_GBK" w:cs="Times New Roman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_GBK" w:cs="Times New Roman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2026年我们的节日·中秋节、重阳节走访活动物资采购项目初步采购需求</w:t>
      </w:r>
    </w:p>
    <w:p w14:paraId="71BD7E5F">
      <w:pPr>
        <w:bidi w:val="0"/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 w14:paraId="640E00BE">
      <w:pPr>
        <w:spacing w:line="594" w:lineRule="exact"/>
        <w:ind w:firstLine="640" w:firstLineChars="200"/>
        <w:rPr>
          <w:rFonts w:hint="default" w:ascii="Times New Roman" w:hAnsi="Times New Roman" w:eastAsia="方正黑体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黑体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一、项目概况</w:t>
      </w:r>
    </w:p>
    <w:p w14:paraId="54260EDA">
      <w:pPr>
        <w:spacing w:line="594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1. 项目名称：2026年我们的节日·中秋节、重阳节走访活动物资采购项目</w:t>
      </w:r>
    </w:p>
    <w:p w14:paraId="7605CCE9">
      <w:pPr>
        <w:spacing w:line="594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2. 服务期限：2026年9月至11月</w:t>
      </w:r>
    </w:p>
    <w:p w14:paraId="3F05BDDB">
      <w:pPr>
        <w:spacing w:line="594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3. 服务地点：成都市</w:t>
      </w:r>
    </w:p>
    <w:p w14:paraId="7C1A80EA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 xml:space="preserve">4. 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项目背景：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为大力弘扬敬老爱老传统美德，切实增强离退休同志的获得感、幸福感和归属感，结合工作实际，离退休志愿者活动科拟于2026年9月至11月（9月25日中秋节、10月18日重阳节）组织开展2026年我们的节日·中秋节重阳节走访活动。此次活动拟采取上门方式对单位534名离退休同志和2026年度30名生病住院、体弱多病、离休高龄的离退休职工进行走访，精准落实离退休人员服务保障举措，用心用情做好老干部服务工作。</w:t>
      </w:r>
    </w:p>
    <w:p w14:paraId="3FC11EA4">
      <w:pPr>
        <w:spacing w:line="594" w:lineRule="exact"/>
        <w:ind w:firstLine="640" w:firstLineChars="200"/>
        <w:rPr>
          <w:rFonts w:hint="default" w:ascii="Times New Roman" w:hAnsi="Times New Roman" w:eastAsia="方正黑体_GBK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黑体_GBK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二、项目预算</w:t>
      </w:r>
    </w:p>
    <w:p w14:paraId="48711005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Times New Roman" w:hAnsi="Times New Roman" w:eastAsia="仿宋" w:cs="Times New Roman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" w:cs="Times New Roman"/>
          <w:bCs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本项目</w:t>
      </w:r>
      <w:r>
        <w:rPr>
          <w:rFonts w:hint="default" w:ascii="Times New Roman" w:hAnsi="Times New Roman" w:eastAsia="仿宋" w:cs="Times New Roman"/>
          <w:bCs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预算</w:t>
      </w:r>
      <w:r>
        <w:rPr>
          <w:rFonts w:hint="default" w:ascii="Times New Roman" w:hAnsi="Times New Roman" w:eastAsia="仿宋" w:cs="Times New Roman"/>
          <w:bCs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16.91</w:t>
      </w:r>
      <w:r>
        <w:rPr>
          <w:rFonts w:hint="default" w:ascii="Times New Roman" w:hAnsi="Times New Roman" w:eastAsia="仿宋" w:cs="Times New Roman"/>
          <w:bCs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万元</w:t>
      </w:r>
      <w:r>
        <w:rPr>
          <w:rFonts w:hint="default" w:ascii="Times New Roman" w:hAnsi="Times New Roman" w:eastAsia="仿宋" w:cs="Times New Roman"/>
          <w:bCs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1BA9C4B5">
      <w:pPr>
        <w:spacing w:line="594" w:lineRule="exact"/>
        <w:ind w:firstLine="640" w:firstLineChars="200"/>
        <w:rPr>
          <w:rFonts w:hint="default" w:ascii="Times New Roman" w:hAnsi="Times New Roman" w:eastAsia="方正黑体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黑体_GBK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三</w:t>
      </w:r>
      <w:r>
        <w:rPr>
          <w:rFonts w:hint="default" w:ascii="Times New Roman" w:hAnsi="Times New Roman" w:eastAsia="方正黑体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、服务内容及要求</w:t>
      </w:r>
    </w:p>
    <w:p w14:paraId="026C80A0">
      <w:pPr>
        <w:spacing w:line="594" w:lineRule="exact"/>
        <w:ind w:firstLine="640" w:firstLineChars="200"/>
        <w:rPr>
          <w:rFonts w:hint="default" w:ascii="Times New Roman" w:hAnsi="Times New Roman" w:eastAsia="方正楷体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楷体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（一）服务内容</w:t>
      </w:r>
    </w:p>
    <w:p w14:paraId="1DC3694E">
      <w:pPr>
        <w:pageBreakBefore w:val="0"/>
        <w:numPr>
          <w:ilvl w:val="0"/>
          <w:numId w:val="0"/>
        </w:numPr>
        <w:wordWrap/>
        <w:overflowPunct/>
        <w:topLinePunct w:val="0"/>
        <w:autoSpaceDE/>
        <w:bidi w:val="0"/>
        <w:spacing w:line="580" w:lineRule="exact"/>
        <w:ind w:firstLine="640" w:firstLineChars="200"/>
        <w:rPr>
          <w:rFonts w:hint="default" w:ascii="Times New Roman" w:hAnsi="Times New Roman" w:eastAsia="方正仿宋_GBK" w:cs="Times New Roman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1.</w:t>
      </w:r>
      <w:r>
        <w:rPr>
          <w:rFonts w:hint="default" w:ascii="Times New Roman" w:hAnsi="Times New Roman" w:eastAsia="方正仿宋_GBK" w:cs="Times New Roman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履约</w:t>
      </w:r>
      <w:r>
        <w:rPr>
          <w:rFonts w:hint="default" w:ascii="Times New Roman" w:hAnsi="Times New Roman" w:eastAsia="方正仿宋_GBK" w:cs="Times New Roman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时间：</w:t>
      </w:r>
      <w:r>
        <w:rPr>
          <w:rFonts w:hint="default" w:ascii="Times New Roman" w:hAnsi="Times New Roman" w:eastAsia="方正仿宋_GBK" w:cs="Times New Roman"/>
          <w:bCs/>
          <w:color w:val="000000" w:themeColor="text1"/>
          <w:sz w:val="32"/>
          <w:szCs w:val="32"/>
          <w:lang w:val="en-US"/>
          <w14:textFill>
            <w14:solidFill>
              <w14:schemeClr w14:val="tx1"/>
            </w14:solidFill>
          </w14:textFill>
        </w:rPr>
        <w:t>按照采购合同约定及采购人要求执行</w:t>
      </w:r>
      <w:r>
        <w:rPr>
          <w:rFonts w:hint="default" w:ascii="Times New Roman" w:hAnsi="Times New Roman" w:eastAsia="方正仿宋_GBK" w:cs="Times New Roman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 w14:paraId="6E6286B5">
      <w:pPr>
        <w:pageBreakBefore w:val="0"/>
        <w:numPr>
          <w:ilvl w:val="0"/>
          <w:numId w:val="0"/>
        </w:numPr>
        <w:wordWrap/>
        <w:overflowPunct/>
        <w:topLinePunct w:val="0"/>
        <w:autoSpaceDE/>
        <w:bidi w:val="0"/>
        <w:spacing w:line="580" w:lineRule="exact"/>
        <w:ind w:firstLine="640" w:firstLineChars="200"/>
        <w:rPr>
          <w:rFonts w:hint="default" w:ascii="Times New Roman" w:hAnsi="Times New Roman" w:eastAsia="方正仿宋_GBK" w:cs="Times New Roman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2.</w:t>
      </w:r>
      <w:r>
        <w:rPr>
          <w:rFonts w:hint="default" w:ascii="Times New Roman" w:hAnsi="Times New Roman" w:eastAsia="方正仿宋_GBK" w:cs="Times New Roman"/>
          <w:bCs/>
          <w:color w:val="000000" w:themeColor="text1"/>
          <w:sz w:val="32"/>
          <w:szCs w:val="32"/>
          <w:lang w:val="en-US"/>
          <w14:textFill>
            <w14:solidFill>
              <w14:schemeClr w14:val="tx1"/>
            </w14:solidFill>
          </w14:textFill>
        </w:rPr>
        <w:t>履约方式：</w:t>
      </w:r>
      <w:r>
        <w:rPr>
          <w:rFonts w:hint="default" w:ascii="Times New Roman" w:hAnsi="Times New Roman" w:eastAsia="方正仿宋_GBK" w:cs="Times New Roman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以实物形式交付采购人，按供应商成交单价结算</w:t>
      </w:r>
      <w:r>
        <w:rPr>
          <w:rFonts w:hint="default" w:ascii="Times New Roman" w:hAnsi="Times New Roman" w:eastAsia="方正仿宋_GBK" w:cs="Times New Roman"/>
          <w:bCs/>
          <w:color w:val="000000" w:themeColor="text1"/>
          <w:sz w:val="32"/>
          <w:szCs w:val="32"/>
          <w:lang w:val="en-US"/>
          <w14:textFill>
            <w14:solidFill>
              <w14:schemeClr w14:val="tx1"/>
            </w14:solidFill>
          </w14:textFill>
        </w:rPr>
        <w:t>。</w:t>
      </w:r>
    </w:p>
    <w:p w14:paraId="65C6AA42">
      <w:pPr>
        <w:pageBreakBefore w:val="0"/>
        <w:numPr>
          <w:ilvl w:val="0"/>
          <w:numId w:val="0"/>
        </w:numPr>
        <w:wordWrap/>
        <w:overflowPunct/>
        <w:topLinePunct w:val="0"/>
        <w:autoSpaceDE/>
        <w:bidi w:val="0"/>
        <w:spacing w:line="580" w:lineRule="exact"/>
        <w:ind w:firstLine="640" w:firstLineChars="200"/>
        <w:rPr>
          <w:rFonts w:hint="default" w:ascii="Times New Roman" w:hAnsi="Times New Roman" w:eastAsia="方正仿宋_GBK" w:cs="Times New Roman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bCs/>
          <w:color w:val="000000" w:themeColor="text1"/>
          <w:sz w:val="32"/>
          <w:szCs w:val="32"/>
          <w:lang w:val="en-US"/>
          <w14:textFill>
            <w14:solidFill>
              <w14:schemeClr w14:val="tx1"/>
            </w14:solidFill>
          </w14:textFill>
        </w:rPr>
        <w:t>3.付款方式：</w:t>
      </w:r>
      <w:r>
        <w:rPr>
          <w:rFonts w:hint="default" w:ascii="Times New Roman" w:hAnsi="Times New Roman" w:eastAsia="方正仿宋_GBK" w:cs="Times New Roman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签订合同后，采购人自收到供应商开具的等额普通发票10个工作日内，支付首款（合同总金额的70%）；项目履约验收合格后，采购人自收到供应商开具的等额普通发票10个工作日内，支付尾款（合同总金额的30%）。如因不可抗力导致支付延迟，供应商不追究采购人责任。</w:t>
      </w:r>
    </w:p>
    <w:p w14:paraId="2C2156B6">
      <w:pPr>
        <w:spacing w:line="594" w:lineRule="exact"/>
        <w:ind w:firstLine="640" w:firstLineChars="200"/>
        <w:rPr>
          <w:rFonts w:hint="default" w:ascii="Times New Roman" w:hAnsi="Times New Roman" w:eastAsia="方正楷体_GBK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楷体_GBK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（二）服务要求</w:t>
      </w:r>
    </w:p>
    <w:p w14:paraId="22CFC286">
      <w:pPr>
        <w:pageBreakBefore w:val="0"/>
        <w:numPr>
          <w:ilvl w:val="0"/>
          <w:numId w:val="0"/>
        </w:numPr>
        <w:wordWrap/>
        <w:overflowPunct/>
        <w:topLinePunct w:val="0"/>
        <w:autoSpaceDE/>
        <w:bidi w:val="0"/>
        <w:spacing w:line="580" w:lineRule="exact"/>
        <w:ind w:firstLine="640" w:firstLineChars="200"/>
        <w:rPr>
          <w:rFonts w:hint="default" w:ascii="Times New Roman" w:hAnsi="Times New Roman" w:eastAsia="方正仿宋_GBK" w:cs="Times New Roman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1.物资种类</w:t>
      </w:r>
    </w:p>
    <w:tbl>
      <w:tblPr>
        <w:tblStyle w:val="4"/>
        <w:tblW w:w="4998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7"/>
        <w:gridCol w:w="498"/>
        <w:gridCol w:w="1282"/>
        <w:gridCol w:w="5309"/>
        <w:gridCol w:w="933"/>
      </w:tblGrid>
      <w:tr w14:paraId="4151B3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  <w:jc w:val="center"/>
        </w:trPr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C834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kern w:val="0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00FD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kern w:val="0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货物名称</w:t>
            </w:r>
          </w:p>
        </w:tc>
        <w:tc>
          <w:tcPr>
            <w:tcW w:w="7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BC51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kern w:val="0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规格</w:t>
            </w:r>
          </w:p>
        </w:tc>
        <w:tc>
          <w:tcPr>
            <w:tcW w:w="31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14B2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kern w:val="0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技术参数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8B81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</w:tr>
      <w:tr w14:paraId="61918C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1F9D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4473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大米</w:t>
            </w:r>
          </w:p>
        </w:tc>
        <w:tc>
          <w:tcPr>
            <w:tcW w:w="7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AEB1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5kg</w:t>
            </w:r>
          </w:p>
        </w:tc>
        <w:tc>
          <w:tcPr>
            <w:tcW w:w="31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9273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8" w:line="360" w:lineRule="auto"/>
              <w:ind w:right="109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:highlight w:val="none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1.品种：大米（粳米）。</w:t>
            </w:r>
          </w:p>
          <w:p w14:paraId="6A1D23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8" w:line="360" w:lineRule="auto"/>
              <w:ind w:right="109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2 .质量等级：符合国家“一级大米”或以上标准 ，5kg/袋。</w:t>
            </w:r>
          </w:p>
          <w:p w14:paraId="39FEFE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8" w:line="360" w:lineRule="auto"/>
              <w:ind w:right="109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3.加工精度：精碾。</w:t>
            </w:r>
          </w:p>
          <w:p w14:paraId="32BA7D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8" w:line="360" w:lineRule="auto"/>
              <w:ind w:right="109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★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4.相关证书齐全完备，生产日期距供货日期不得超过 2 个月，产品质量符合GB/T 1354《大米》的技术标准要求，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食品安全符合 GB2762 标准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 w14:paraId="68124F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8" w:line="360" w:lineRule="auto"/>
              <w:ind w:right="109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:highlight w:val="none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5.产品包装坚固结实，封口严密，标签标识应符合国家相关规定。  </w:t>
            </w:r>
          </w:p>
          <w:p w14:paraId="68E2E7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8" w:line="360" w:lineRule="auto"/>
              <w:ind w:right="109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★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6.外包装袋无破损。产品外包装袋上应标有生产许可证编号、产品 名称、等级、产品执行标准代号、净含量、厂名、厂址、生产日期、 营养成分表、保质期、成分或配料表、规格及国家法律法规或 GB7718 标准规定的其他项目。</w:t>
            </w:r>
          </w:p>
          <w:p w14:paraId="59D1807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8" w:line="360" w:lineRule="auto"/>
              <w:ind w:left="0" w:right="109" w:firstLine="0" w:firstLineChars="0"/>
              <w:rPr>
                <w:rFonts w:hint="default" w:ascii="Times New Roman" w:hAnsi="Times New Roman" w:eastAsia="宋体" w:cs="Times New Roman"/>
                <w:color w:val="000000" w:themeColor="text1"/>
                <w:spacing w:val="7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pacing w:val="7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7.投标产品包装材料符合GB/T17109《粮食销售包装》。</w:t>
            </w:r>
          </w:p>
          <w:p w14:paraId="1A2223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8" w:line="360" w:lineRule="auto"/>
              <w:ind w:right="109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pacing w:val="7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8.投标产品通过外源基因检测。（注：提供国家认可第三方检验检测机构出具检测报告佐证该项并加盖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pacing w:val="7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供应商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pacing w:val="7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公章。）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6C99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袋</w:t>
            </w:r>
          </w:p>
        </w:tc>
      </w:tr>
      <w:tr w14:paraId="277B35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  <w:jc w:val="center"/>
        </w:trPr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CBF0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CC18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食用油</w:t>
            </w:r>
          </w:p>
        </w:tc>
        <w:tc>
          <w:tcPr>
            <w:tcW w:w="7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7C98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5L以上</w:t>
            </w:r>
          </w:p>
        </w:tc>
        <w:tc>
          <w:tcPr>
            <w:tcW w:w="31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FFD1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8" w:line="360" w:lineRule="auto"/>
              <w:ind w:right="109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菜籽油：菜籽油应为国家标准压榨二级及以上桶装菜籽油，应符合GB/T 1536-2021《菜籽油》的规定要求。</w:t>
            </w:r>
          </w:p>
          <w:p w14:paraId="56B753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8" w:line="360" w:lineRule="auto"/>
              <w:ind w:right="109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包装制作要求:独立包装，包装材料必须采用无毒无害材料制作，产品包装坚固结实，封口严密。包装上须带有生产日期、保质期及国家生产许可信息标识。</w:t>
            </w:r>
          </w:p>
          <w:p w14:paraId="7A8668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8" w:line="360" w:lineRule="auto"/>
              <w:ind w:right="109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3.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有效保质时间不低于180天。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D5BB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桶</w:t>
            </w:r>
          </w:p>
        </w:tc>
      </w:tr>
      <w:tr w14:paraId="3B57E3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  <w:jc w:val="center"/>
        </w:trPr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7760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bookmarkStart w:id="0" w:name="_GoBack"/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2622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牛奶</w:t>
            </w:r>
          </w:p>
        </w:tc>
        <w:tc>
          <w:tcPr>
            <w:tcW w:w="7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EF21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250ml*12盒</w:t>
            </w:r>
          </w:p>
        </w:tc>
        <w:tc>
          <w:tcPr>
            <w:tcW w:w="31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A24B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8" w:line="360" w:lineRule="auto"/>
              <w:ind w:right="109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★1.灭菌乳的食品安全指标应分别符合GB25190（或最新标准）的规定。</w:t>
            </w:r>
          </w:p>
          <w:p w14:paraId="64B838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8" w:line="360" w:lineRule="auto"/>
              <w:ind w:right="109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2.色泽：呈均匀一致的乳白色，或微黄色。气味：具有牛乳固有的滋味和气味，无异味。</w:t>
            </w:r>
          </w:p>
          <w:p w14:paraId="3591F6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8" w:line="360" w:lineRule="auto"/>
              <w:ind w:right="109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3.组织状态：均匀的液体，无凝块，无粘稠现象。</w:t>
            </w:r>
          </w:p>
          <w:p w14:paraId="38FEF5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8" w:line="360" w:lineRule="auto"/>
              <w:ind w:right="109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4.有效期须在保质期二分之一期限之内。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A2BB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件</w:t>
            </w:r>
          </w:p>
        </w:tc>
      </w:tr>
      <w:bookmarkEnd w:id="0"/>
    </w:tbl>
    <w:p w14:paraId="26A66719">
      <w:pPr>
        <w:pageBreakBefore w:val="0"/>
        <w:numPr>
          <w:ilvl w:val="0"/>
          <w:numId w:val="0"/>
        </w:numPr>
        <w:wordWrap/>
        <w:overflowPunct/>
        <w:topLinePunct w:val="0"/>
        <w:autoSpaceDE/>
        <w:bidi w:val="0"/>
        <w:spacing w:line="580" w:lineRule="exact"/>
        <w:ind w:firstLine="640" w:firstLineChars="200"/>
        <w:rPr>
          <w:rFonts w:hint="default" w:ascii="Times New Roman" w:hAnsi="Times New Roman" w:eastAsia="方正仿宋_GBK" w:cs="Times New Roman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2.物资套餐</w:t>
      </w:r>
    </w:p>
    <w:p w14:paraId="2049385A">
      <w:pPr>
        <w:pageBreakBefore w:val="0"/>
        <w:numPr>
          <w:ilvl w:val="0"/>
          <w:numId w:val="0"/>
        </w:numPr>
        <w:wordWrap/>
        <w:overflowPunct/>
        <w:topLinePunct w:val="0"/>
        <w:autoSpaceDE/>
        <w:bidi w:val="0"/>
        <w:spacing w:line="580" w:lineRule="exact"/>
        <w:ind w:firstLine="640" w:firstLineChars="200"/>
        <w:rPr>
          <w:rFonts w:hint="default" w:ascii="Times New Roman" w:hAnsi="Times New Roman" w:eastAsia="方正仿宋_GBK" w:cs="Times New Roman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（1）套餐一：大米1袋、食用油1桶、牛奶</w:t>
      </w:r>
      <w:r>
        <w:rPr>
          <w:rFonts w:hint="eastAsia" w:ascii="Times New Roman" w:hAnsi="Times New Roman" w:eastAsia="方正仿宋_GBK" w:cs="Times New Roman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default" w:ascii="Times New Roman" w:hAnsi="Times New Roman" w:eastAsia="方正仿宋_GBK" w:cs="Times New Roman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件，限价人民币250元。</w:t>
      </w:r>
    </w:p>
    <w:p w14:paraId="4AC783EE">
      <w:pPr>
        <w:pageBreakBefore w:val="0"/>
        <w:numPr>
          <w:ilvl w:val="0"/>
          <w:numId w:val="0"/>
        </w:numPr>
        <w:wordWrap/>
        <w:overflowPunct/>
        <w:topLinePunct w:val="0"/>
        <w:autoSpaceDE/>
        <w:bidi w:val="0"/>
        <w:spacing w:line="580" w:lineRule="exact"/>
        <w:ind w:firstLine="640" w:firstLineChars="200"/>
        <w:rPr>
          <w:rFonts w:hint="default" w:ascii="Times New Roman" w:hAnsi="Times New Roman" w:eastAsia="方正仿宋_GBK" w:cs="Times New Roman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（2）套餐二：大米1袋、食用油1桶，限价人民币200元。</w:t>
      </w:r>
    </w:p>
    <w:p w14:paraId="4852D035">
      <w:pPr>
        <w:pageBreakBefore w:val="0"/>
        <w:numPr>
          <w:ilvl w:val="0"/>
          <w:numId w:val="0"/>
        </w:numPr>
        <w:wordWrap/>
        <w:overflowPunct/>
        <w:topLinePunct w:val="0"/>
        <w:autoSpaceDE/>
        <w:bidi w:val="0"/>
        <w:spacing w:line="580" w:lineRule="exact"/>
        <w:ind w:firstLine="640" w:firstLineChars="200"/>
        <w:rPr>
          <w:rFonts w:hint="default" w:ascii="Times New Roman" w:hAnsi="Times New Roman" w:eastAsia="方正仿宋_GBK" w:cs="Times New Roman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（3）套餐三：大米1袋、牛奶</w:t>
      </w:r>
      <w:r>
        <w:rPr>
          <w:rFonts w:hint="eastAsia" w:ascii="Times New Roman" w:hAnsi="Times New Roman" w:eastAsia="方正仿宋_GBK" w:cs="Times New Roman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default" w:ascii="Times New Roman" w:hAnsi="Times New Roman" w:eastAsia="方正仿宋_GBK" w:cs="Times New Roman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件，限价人民币150元。</w:t>
      </w:r>
    </w:p>
    <w:p w14:paraId="656C730F">
      <w:pPr>
        <w:pageBreakBefore w:val="0"/>
        <w:numPr>
          <w:ilvl w:val="0"/>
          <w:numId w:val="0"/>
        </w:numPr>
        <w:wordWrap/>
        <w:overflowPunct/>
        <w:topLinePunct w:val="0"/>
        <w:autoSpaceDE/>
        <w:bidi w:val="0"/>
        <w:spacing w:line="580" w:lineRule="exact"/>
        <w:ind w:firstLine="640" w:firstLineChars="200"/>
        <w:rPr>
          <w:rFonts w:hint="default" w:ascii="Times New Roman" w:hAnsi="Times New Roman" w:eastAsia="方正仿宋_GBK" w:cs="Times New Roman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3.注意事项</w:t>
      </w:r>
    </w:p>
    <w:p w14:paraId="560F21CB">
      <w:pPr>
        <w:pageBreakBefore w:val="0"/>
        <w:numPr>
          <w:ilvl w:val="0"/>
          <w:numId w:val="0"/>
        </w:numPr>
        <w:wordWrap/>
        <w:overflowPunct/>
        <w:topLinePunct w:val="0"/>
        <w:autoSpaceDE/>
        <w:bidi w:val="0"/>
        <w:spacing w:line="580" w:lineRule="exact"/>
        <w:ind w:firstLine="640" w:firstLineChars="200"/>
        <w:rPr>
          <w:rFonts w:hint="default" w:ascii="Times New Roman" w:hAnsi="Times New Roman" w:eastAsia="方正仿宋_GBK" w:cs="Times New Roman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（1）以上打★号的全部内容为本次项目的实质性要求，不允许有负偏离，否则作无效响应处理。</w:t>
      </w:r>
    </w:p>
    <w:p w14:paraId="3B2FEFCA">
      <w:pPr>
        <w:pageBreakBefore w:val="0"/>
        <w:numPr>
          <w:ilvl w:val="0"/>
          <w:numId w:val="0"/>
        </w:numPr>
        <w:wordWrap/>
        <w:overflowPunct/>
        <w:topLinePunct w:val="0"/>
        <w:autoSpaceDE/>
        <w:bidi w:val="0"/>
        <w:spacing w:line="580" w:lineRule="exact"/>
        <w:ind w:firstLine="640" w:firstLineChars="200"/>
        <w:rPr>
          <w:rFonts w:hint="default" w:ascii="Times New Roman" w:hAnsi="Times New Roman" w:eastAsia="方正仿宋_GBK" w:cs="Times New Roman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（2）以上内容在磋商过程中均可变更（含实质性变更），其中打★号的内容只能作正偏离变更。</w:t>
      </w:r>
    </w:p>
    <w:p w14:paraId="1F014087">
      <w:pPr>
        <w:widowControl/>
        <w:jc w:val="left"/>
        <w:rPr>
          <w:rFonts w:hint="default" w:ascii="Times New Roman" w:hAnsi="Times New Roman" w:eastAsia="方正黑体_GBK" w:cs="Times New Roman"/>
          <w:color w:val="000000" w:themeColor="text1"/>
          <w:kern w:val="0"/>
          <w:sz w:val="32"/>
          <w:szCs w:val="30"/>
          <w14:textFill>
            <w14:solidFill>
              <w14:schemeClr w14:val="tx1"/>
            </w14:solidFill>
          </w14:textFill>
        </w:rPr>
      </w:pPr>
    </w:p>
    <w:p w14:paraId="538C2A70">
      <w:pPr>
        <w:widowControl/>
        <w:jc w:val="left"/>
        <w:rPr>
          <w:rFonts w:hint="default" w:ascii="Times New Roman" w:hAnsi="Times New Roman" w:eastAsia="方正黑体_GBK" w:cs="Times New Roman"/>
          <w:color w:val="000000" w:themeColor="text1"/>
          <w:kern w:val="0"/>
          <w:sz w:val="32"/>
          <w:szCs w:val="30"/>
          <w14:textFill>
            <w14:solidFill>
              <w14:schemeClr w14:val="tx1"/>
            </w14:solidFill>
          </w14:textFill>
        </w:rPr>
      </w:pPr>
    </w:p>
    <w:p w14:paraId="1D5C16B7">
      <w:pPr>
        <w:widowControl/>
        <w:jc w:val="left"/>
        <w:rPr>
          <w:rFonts w:hint="default" w:ascii="Times New Roman" w:hAnsi="Times New Roman" w:eastAsia="方正黑体_GBK" w:cs="Times New Roman"/>
          <w:color w:val="000000" w:themeColor="text1"/>
          <w:kern w:val="0"/>
          <w:sz w:val="32"/>
          <w:szCs w:val="30"/>
          <w14:textFill>
            <w14:solidFill>
              <w14:schemeClr w14:val="tx1"/>
            </w14:solidFill>
          </w14:textFill>
        </w:rPr>
      </w:pPr>
    </w:p>
    <w:p w14:paraId="68346C4C">
      <w:pPr>
        <w:widowControl/>
        <w:jc w:val="left"/>
        <w:rPr>
          <w:rFonts w:hint="default" w:ascii="Times New Roman" w:hAnsi="Times New Roman" w:eastAsia="方正黑体_GBK" w:cs="Times New Roman"/>
          <w:color w:val="000000" w:themeColor="text1"/>
          <w:kern w:val="0"/>
          <w:sz w:val="32"/>
          <w:szCs w:val="30"/>
          <w14:textFill>
            <w14:solidFill>
              <w14:schemeClr w14:val="tx1"/>
            </w14:solidFill>
          </w14:textFill>
        </w:rPr>
      </w:pPr>
    </w:p>
    <w:p w14:paraId="01A85902">
      <w:pPr>
        <w:widowControl/>
        <w:jc w:val="left"/>
        <w:rPr>
          <w:rFonts w:hint="default" w:ascii="Times New Roman" w:hAnsi="Times New Roman" w:eastAsia="方正黑体_GBK" w:cs="Times New Roman"/>
          <w:color w:val="000000" w:themeColor="text1"/>
          <w:kern w:val="0"/>
          <w:sz w:val="32"/>
          <w:szCs w:val="30"/>
          <w14:textFill>
            <w14:solidFill>
              <w14:schemeClr w14:val="tx1"/>
            </w14:solidFill>
          </w14:textFill>
        </w:rPr>
      </w:pPr>
    </w:p>
    <w:p w14:paraId="19177264">
      <w:pPr>
        <w:widowControl/>
        <w:jc w:val="left"/>
        <w:rPr>
          <w:rFonts w:hint="default" w:ascii="Times New Roman" w:hAnsi="Times New Roman" w:eastAsia="方正黑体_GBK" w:cs="Times New Roman"/>
          <w:color w:val="000000" w:themeColor="text1"/>
          <w:kern w:val="0"/>
          <w:sz w:val="32"/>
          <w:szCs w:val="30"/>
          <w14:textFill>
            <w14:solidFill>
              <w14:schemeClr w14:val="tx1"/>
            </w14:solidFill>
          </w14:textFill>
        </w:rPr>
      </w:pPr>
    </w:p>
    <w:p w14:paraId="4A19E6BB">
      <w:pPr>
        <w:widowControl/>
        <w:jc w:val="left"/>
        <w:rPr>
          <w:rFonts w:hint="default" w:ascii="Times New Roman" w:hAnsi="Times New Roman" w:eastAsia="方正黑体_GBK" w:cs="Times New Roman"/>
          <w:color w:val="000000" w:themeColor="text1"/>
          <w:kern w:val="0"/>
          <w:sz w:val="32"/>
          <w:szCs w:val="30"/>
          <w14:textFill>
            <w14:solidFill>
              <w14:schemeClr w14:val="tx1"/>
            </w14:solidFill>
          </w14:textFill>
        </w:rPr>
      </w:pPr>
    </w:p>
    <w:p w14:paraId="06AF9F22">
      <w:pPr>
        <w:widowControl/>
        <w:jc w:val="left"/>
        <w:rPr>
          <w:rFonts w:hint="default" w:ascii="Times New Roman" w:hAnsi="Times New Roman" w:eastAsia="方正黑体_GBK" w:cs="Times New Roman"/>
          <w:color w:val="000000" w:themeColor="text1"/>
          <w:kern w:val="0"/>
          <w:sz w:val="32"/>
          <w:szCs w:val="30"/>
          <w14:textFill>
            <w14:solidFill>
              <w14:schemeClr w14:val="tx1"/>
            </w14:solidFill>
          </w14:textFill>
        </w:rPr>
      </w:pPr>
    </w:p>
    <w:p w14:paraId="66B4951E">
      <w:pPr>
        <w:widowControl/>
        <w:jc w:val="left"/>
        <w:rPr>
          <w:rFonts w:hint="default" w:ascii="Times New Roman" w:hAnsi="Times New Roman" w:eastAsia="方正黑体_GBK" w:cs="Times New Roman"/>
          <w:color w:val="000000" w:themeColor="text1"/>
          <w:kern w:val="0"/>
          <w:sz w:val="32"/>
          <w:szCs w:val="30"/>
          <w14:textFill>
            <w14:solidFill>
              <w14:schemeClr w14:val="tx1"/>
            </w14:solidFill>
          </w14:textFill>
        </w:rPr>
      </w:pPr>
    </w:p>
    <w:p w14:paraId="24AE10FD">
      <w:pPr>
        <w:widowControl/>
        <w:jc w:val="left"/>
        <w:rPr>
          <w:rFonts w:hint="default" w:ascii="Times New Roman" w:hAnsi="Times New Roman" w:eastAsia="方正黑体_GBK" w:cs="Times New Roman"/>
          <w:color w:val="000000" w:themeColor="text1"/>
          <w:kern w:val="0"/>
          <w:sz w:val="32"/>
          <w:szCs w:val="30"/>
          <w14:textFill>
            <w14:solidFill>
              <w14:schemeClr w14:val="tx1"/>
            </w14:solidFill>
          </w14:textFill>
        </w:rPr>
      </w:pPr>
    </w:p>
    <w:p w14:paraId="33BB42AC">
      <w:pPr>
        <w:widowControl/>
        <w:jc w:val="left"/>
        <w:rPr>
          <w:rFonts w:hint="default" w:ascii="Times New Roman" w:hAnsi="Times New Roman" w:eastAsia="方正黑体_GBK" w:cs="Times New Roman"/>
          <w:color w:val="000000" w:themeColor="text1"/>
          <w:kern w:val="0"/>
          <w:sz w:val="32"/>
          <w:szCs w:val="30"/>
          <w14:textFill>
            <w14:solidFill>
              <w14:schemeClr w14:val="tx1"/>
            </w14:solidFill>
          </w14:textFill>
        </w:rPr>
      </w:pPr>
    </w:p>
    <w:p w14:paraId="6761E5F1">
      <w:pPr>
        <w:widowControl/>
        <w:jc w:val="left"/>
        <w:rPr>
          <w:rFonts w:hint="default" w:ascii="Times New Roman" w:hAnsi="Times New Roman" w:eastAsia="方正黑体_GBK" w:cs="Times New Roman"/>
          <w:color w:val="000000" w:themeColor="text1"/>
          <w:kern w:val="0"/>
          <w:sz w:val="32"/>
          <w:szCs w:val="30"/>
          <w14:textFill>
            <w14:solidFill>
              <w14:schemeClr w14:val="tx1"/>
            </w14:solidFill>
          </w14:textFill>
        </w:rPr>
      </w:pPr>
    </w:p>
    <w:p w14:paraId="7B1E5B8D">
      <w:pPr>
        <w:widowControl/>
        <w:jc w:val="left"/>
        <w:rPr>
          <w:rFonts w:hint="default" w:ascii="Times New Roman" w:hAnsi="Times New Roman" w:eastAsia="方正黑体_GBK" w:cs="Times New Roman"/>
          <w:color w:val="000000" w:themeColor="text1"/>
          <w:kern w:val="0"/>
          <w:sz w:val="32"/>
          <w:szCs w:val="30"/>
          <w14:textFill>
            <w14:solidFill>
              <w14:schemeClr w14:val="tx1"/>
            </w14:solidFill>
          </w14:textFill>
        </w:rPr>
      </w:pPr>
    </w:p>
    <w:p w14:paraId="60DBD2C2">
      <w:pPr>
        <w:widowControl/>
        <w:jc w:val="left"/>
        <w:rPr>
          <w:rFonts w:hint="default" w:ascii="Times New Roman" w:hAnsi="Times New Roman" w:eastAsia="方正黑体_GBK" w:cs="Times New Roman"/>
          <w:color w:val="000000" w:themeColor="text1"/>
          <w:kern w:val="0"/>
          <w:sz w:val="32"/>
          <w:szCs w:val="30"/>
          <w14:textFill>
            <w14:solidFill>
              <w14:schemeClr w14:val="tx1"/>
            </w14:solidFill>
          </w14:textFill>
        </w:rPr>
      </w:pPr>
    </w:p>
    <w:p w14:paraId="0AA641B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楷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8B5EB0"/>
    <w:rsid w:val="158B5EB0"/>
    <w:rsid w:val="1E552304"/>
    <w:rsid w:val="2C8F2D3B"/>
    <w:rsid w:val="676032B6"/>
    <w:rsid w:val="71AE4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iPriority="99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580" w:lineRule="exact"/>
      <w:ind w:firstLine="1446" w:firstLineChars="200"/>
      <w:outlineLvl w:val="2"/>
    </w:pPr>
    <w:rPr>
      <w:rFonts w:eastAsia="方正楷体_GBK" w:asciiTheme="minorAscii" w:hAnsiTheme="minorAscii"/>
      <w:b/>
      <w:sz w:val="32"/>
      <w:szCs w:val="2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index 5"/>
    <w:basedOn w:val="1"/>
    <w:next w:val="1"/>
    <w:unhideWhenUsed/>
    <w:qFormat/>
    <w:uiPriority w:val="99"/>
    <w:pPr>
      <w:ind w:left="2560" w:leftChars="800"/>
      <w:jc w:val="left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1250</Words>
  <Characters>1372</Characters>
  <Lines>0</Lines>
  <Paragraphs>0</Paragraphs>
  <TotalTime>5</TotalTime>
  <ScaleCrop>false</ScaleCrop>
  <LinksUpToDate>false</LinksUpToDate>
  <CharactersWithSpaces>1391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2026-06-04T05:27:00Z</dcterms:created>
  <dc:creator>杜翔</dc:creator>
  <cp:lastModifiedBy>杜翔</cp:lastModifiedBy>
  <dcterms:modified xsi:type="dcterms:W3CDTF">2026-08-31T06:29:34Z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65F03C7F6A164EF9B6068301CC67E62B_13</vt:lpwstr>
  </property>
  <property fmtid="{D5CDD505-2E9C-101B-9397-08002B2CF9AE}" pid="4" name="KSOTemplateDocerSaveRecord">
    <vt:lpwstr>eyJoZGlkIjoiZmY2MzM3NDJlNWU2ZmI3MzZiNGNhZTRiNGFiYzQzZGUiLCJ1c2VySWQiOiIxNjA4MDYxMzUwIn0=</vt:lpwstr>
  </property>
</Properties>
</file>