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6A3297">
      <w:pPr>
        <w:widowControl/>
        <w:jc w:val="left"/>
        <w:rPr>
          <w:rFonts w:ascii="方正黑体_GBK" w:hAnsi="仿宋" w:eastAsia="方正黑体_GBK" w:cs="仿宋"/>
          <w:kern w:val="0"/>
          <w:sz w:val="30"/>
          <w:szCs w:val="30"/>
        </w:rPr>
      </w:pPr>
      <w:r>
        <w:rPr>
          <w:rFonts w:hint="eastAsia" w:ascii="方正黑体_GBK" w:hAnsi="仿宋" w:eastAsia="方正黑体_GBK" w:cs="仿宋"/>
          <w:kern w:val="0"/>
          <w:sz w:val="32"/>
          <w:szCs w:val="30"/>
        </w:rPr>
        <w:t>附件1</w:t>
      </w:r>
    </w:p>
    <w:p w14:paraId="2C18B76F">
      <w:pPr>
        <w:spacing w:line="594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default" w:ascii="方正小标宋_GBK" w:eastAsia="方正小标宋_GBK"/>
          <w:sz w:val="44"/>
          <w:szCs w:val="44"/>
          <w:lang w:val="en-US" w:eastAsia="zh-CN"/>
        </w:rPr>
        <w:t>2026</w:t>
      </w:r>
      <w:r>
        <w:rPr>
          <w:rFonts w:hint="default" w:ascii="方正小标宋_GBK" w:eastAsia="方正小标宋_GBK"/>
          <w:sz w:val="44"/>
          <w:szCs w:val="44"/>
          <w:lang w:eastAsia="zh-CN"/>
        </w:rPr>
        <w:t>年度职工健康体检</w:t>
      </w:r>
      <w:r>
        <w:rPr>
          <w:rFonts w:hint="default" w:ascii="方正小标宋_GBK" w:eastAsia="方正小标宋_GBK"/>
          <w:sz w:val="44"/>
          <w:szCs w:val="44"/>
          <w:lang w:val="en-US" w:eastAsia="zh-CN"/>
        </w:rPr>
        <w:t>项目</w:t>
      </w:r>
    </w:p>
    <w:p w14:paraId="18596053">
      <w:pPr>
        <w:spacing w:line="594" w:lineRule="exact"/>
        <w:jc w:val="center"/>
        <w:rPr>
          <w:rFonts w:hint="eastAsia"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初步采购需求</w:t>
      </w:r>
    </w:p>
    <w:p w14:paraId="797A26BA">
      <w:pPr>
        <w:spacing w:line="594" w:lineRule="exact"/>
        <w:jc w:val="center"/>
        <w:rPr>
          <w:rFonts w:hint="eastAsia" w:ascii="方正小标宋_GBK" w:eastAsia="方正小标宋_GBK"/>
          <w:sz w:val="44"/>
          <w:szCs w:val="44"/>
        </w:rPr>
      </w:pPr>
    </w:p>
    <w:p w14:paraId="2FA151B2">
      <w:pPr>
        <w:spacing w:line="594" w:lineRule="exact"/>
        <w:ind w:firstLine="640" w:firstLineChars="200"/>
        <w:rPr>
          <w:rFonts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一、项目概况</w:t>
      </w:r>
    </w:p>
    <w:p w14:paraId="01FB6138">
      <w:pPr>
        <w:spacing w:line="594" w:lineRule="exact"/>
        <w:ind w:firstLine="640" w:firstLineChars="200"/>
        <w:jc w:val="both"/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1. 项目名称：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2026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年度职工健康体检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项目</w:t>
      </w:r>
    </w:p>
    <w:p w14:paraId="0219C455">
      <w:pPr>
        <w:spacing w:line="594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2. 服务期限：2026年11月30日前</w:t>
      </w:r>
    </w:p>
    <w:p w14:paraId="599991F3">
      <w:pPr>
        <w:spacing w:line="594" w:lineRule="exact"/>
        <w:ind w:firstLine="640" w:firstLineChars="200"/>
        <w:jc w:val="both"/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3. 服务地点：成都市</w:t>
      </w:r>
    </w:p>
    <w:p w14:paraId="5403EFB1">
      <w:pPr>
        <w:spacing w:line="594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 xml:space="preserve">4. </w:t>
      </w:r>
      <w:r>
        <w:rPr>
          <w:rFonts w:hint="eastAsia" w:ascii="方正仿宋_GBK" w:eastAsia="方正仿宋_GBK"/>
          <w:sz w:val="32"/>
          <w:szCs w:val="32"/>
        </w:rPr>
        <w:t>项目背景：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成都市非物质文化遗产保护中心202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年度职工健康体检服务采购项目。体检人员3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人。其中在职的男62人、女性10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人（含未婚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27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人），离退休的男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离退休的男性78人、女性90人。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供应商分别按照：1、在职人员男性、女性和女性未婚对体检项目进行报价; 2、分别按照离退休人员男性、女性对体检项目进行报价；采购人依照体检人数和单价据实结算。</w:t>
      </w:r>
    </w:p>
    <w:p w14:paraId="792C9E85">
      <w:pPr>
        <w:spacing w:line="594" w:lineRule="exact"/>
        <w:ind w:firstLine="640" w:firstLineChars="200"/>
        <w:rPr>
          <w:rFonts w:hint="eastAsia" w:ascii="方正黑体_GBK" w:eastAsia="方正黑体_GBK" w:cs="Times New Roman"/>
          <w:sz w:val="32"/>
          <w:szCs w:val="32"/>
          <w:lang w:val="en-US" w:eastAsia="zh-CN"/>
        </w:rPr>
      </w:pPr>
      <w:r>
        <w:rPr>
          <w:rFonts w:hint="eastAsia" w:ascii="方正黑体_GBK" w:eastAsia="方正黑体_GBK" w:cs="Times New Roman"/>
          <w:sz w:val="32"/>
          <w:szCs w:val="32"/>
          <w:lang w:val="en-US" w:eastAsia="zh-CN"/>
        </w:rPr>
        <w:t>二、项目预算</w:t>
      </w:r>
    </w:p>
    <w:p w14:paraId="66392FB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eastAsia="仿宋"/>
          <w:lang w:val="en-US" w:eastAsia="zh-CN"/>
        </w:rPr>
      </w:pPr>
      <w:r>
        <w:rPr>
          <w:rFonts w:hint="eastAsia" w:ascii="Times New Roman" w:hAnsi="Times New Roman" w:eastAsia="仿宋" w:cs="Times New Roman"/>
          <w:bCs/>
          <w:sz w:val="32"/>
          <w:szCs w:val="32"/>
          <w:highlight w:val="none"/>
          <w:u w:val="none"/>
          <w:lang w:val="en-US" w:eastAsia="zh-CN"/>
        </w:rPr>
        <w:t>48.08</w:t>
      </w:r>
      <w:r>
        <w:rPr>
          <w:rFonts w:hint="default" w:ascii="Times New Roman" w:hAnsi="Times New Roman" w:eastAsia="仿宋" w:cs="Times New Roman"/>
          <w:bCs/>
          <w:sz w:val="32"/>
          <w:szCs w:val="32"/>
          <w:highlight w:val="none"/>
          <w:u w:val="none"/>
        </w:rPr>
        <w:t>万元</w:t>
      </w:r>
    </w:p>
    <w:p w14:paraId="2F9CDBEE">
      <w:pPr>
        <w:spacing w:line="594" w:lineRule="exact"/>
        <w:ind w:firstLine="640" w:firstLineChars="200"/>
        <w:rPr>
          <w:rFonts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  <w:lang w:val="en-US" w:eastAsia="zh-CN"/>
        </w:rPr>
        <w:t>三</w:t>
      </w:r>
      <w:r>
        <w:rPr>
          <w:rFonts w:hint="eastAsia" w:ascii="方正黑体_GBK" w:eastAsia="方正黑体_GBK"/>
          <w:sz w:val="32"/>
          <w:szCs w:val="32"/>
        </w:rPr>
        <w:t>、服务内容及要求</w:t>
      </w:r>
    </w:p>
    <w:p w14:paraId="3FE84A1F">
      <w:pPr>
        <w:spacing w:line="360" w:lineRule="auto"/>
        <w:ind w:left="0" w:leftChars="0" w:firstLine="640" w:firstLineChars="200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（一）服务需求</w:t>
      </w:r>
    </w:p>
    <w:p w14:paraId="7C8A8D67">
      <w:pPr>
        <w:spacing w:line="594" w:lineRule="exact"/>
        <w:ind w:firstLine="640" w:firstLineChars="200"/>
        <w:jc w:val="both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1、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供应商应具有独立的体检场所、做到检患分离，避免交叉感染。做到交通便利，能提供专用停车场，体检地点周边应有地铁站、公交站等。</w:t>
      </w:r>
    </w:p>
    <w:p w14:paraId="7AAA4967">
      <w:pPr>
        <w:spacing w:line="594" w:lineRule="exact"/>
        <w:ind w:firstLine="640" w:firstLineChars="200"/>
        <w:jc w:val="both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2、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供应商需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为采购人落实体检场次安排、把控现场体检质量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 w14:paraId="4516DEBB">
      <w:pPr>
        <w:spacing w:line="594" w:lineRule="exact"/>
        <w:ind w:firstLine="640" w:firstLineChars="200"/>
        <w:jc w:val="both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3、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供应商需在参加体检前向采购人发出健康检查注意事项。</w:t>
      </w:r>
    </w:p>
    <w:p w14:paraId="47E8DF4F">
      <w:pPr>
        <w:spacing w:line="594" w:lineRule="exact"/>
        <w:ind w:firstLine="640" w:firstLineChars="200"/>
        <w:jc w:val="both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4、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供应商按照采购人提供的体检人员名单进行体检，认真核对受检者身份，冒名顶替一律视为无效，供应商应拒绝接待体检服务。</w:t>
      </w:r>
    </w:p>
    <w:p w14:paraId="44EAB8FD">
      <w:pPr>
        <w:spacing w:line="594" w:lineRule="exact"/>
        <w:ind w:firstLine="640" w:firstLineChars="200"/>
        <w:jc w:val="both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5、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供应商在体检当天为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受检者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提供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营业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早餐。</w:t>
      </w:r>
    </w:p>
    <w:p w14:paraId="4236C005">
      <w:pPr>
        <w:spacing w:line="594" w:lineRule="exact"/>
        <w:ind w:firstLine="640" w:firstLineChars="200"/>
        <w:jc w:val="both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6、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供应商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应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落实好医疗保密制度。</w:t>
      </w:r>
    </w:p>
    <w:p w14:paraId="75C6C643">
      <w:pPr>
        <w:spacing w:line="594" w:lineRule="exact"/>
        <w:ind w:firstLine="640" w:firstLineChars="200"/>
        <w:jc w:val="both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7、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对重大阳性结果结果凡需进一步检查确诊的，由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成交供应商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提供三甲级以上医院就诊绿色通道。</w:t>
      </w:r>
    </w:p>
    <w:p w14:paraId="05F63D3A">
      <w:pPr>
        <w:spacing w:line="594" w:lineRule="exact"/>
        <w:ind w:firstLine="640" w:firstLineChars="200"/>
        <w:jc w:val="both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8、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出具健康体检报告后，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供应商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应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提供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健康咨询或报告解读。</w:t>
      </w:r>
    </w:p>
    <w:p w14:paraId="6366043E">
      <w:pPr>
        <w:spacing w:line="594" w:lineRule="exact"/>
        <w:ind w:firstLine="640" w:firstLineChars="200"/>
        <w:jc w:val="both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9、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体检人员因特殊原因未能在统一时间内参加体检的，供应商应协商安排补检时间。</w:t>
      </w:r>
    </w:p>
    <w:p w14:paraId="27F8B638">
      <w:pPr>
        <w:spacing w:line="594" w:lineRule="exact"/>
        <w:ind w:firstLine="640" w:firstLineChars="200"/>
        <w:jc w:val="both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）商务要求</w:t>
      </w:r>
    </w:p>
    <w:p w14:paraId="35DBF11C">
      <w:pPr>
        <w:spacing w:line="594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1、履约时间（期限）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供应商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：合同签订生效后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9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0日之内，具体体检时间由采购人另行通知。</w:t>
      </w:r>
    </w:p>
    <w:p w14:paraId="76D3814D">
      <w:pPr>
        <w:spacing w:line="594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2、履约地点：成交供应商提供的体检场。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 xml:space="preserve"> </w:t>
      </w:r>
    </w:p>
    <w:p w14:paraId="0A35AFA9">
      <w:pPr>
        <w:spacing w:line="594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、交付（实施）的时间（期限）和地点（范围）：</w:t>
      </w:r>
    </w:p>
    <w:p w14:paraId="615B1D35">
      <w:pPr>
        <w:spacing w:line="594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）时间（期限）：合同签订生效后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9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0日之内，具体体检时间由采购人另行通知。</w:t>
      </w:r>
    </w:p>
    <w:p w14:paraId="6EFF5957">
      <w:pPr>
        <w:spacing w:line="594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）地点（范围）；成都市，成交供应商提供的体检场所。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 xml:space="preserve"> </w:t>
      </w:r>
    </w:p>
    <w:p w14:paraId="1A0E62DA">
      <w:pPr>
        <w:spacing w:line="594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4、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付款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方式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bCs/>
          <w:sz w:val="32"/>
          <w:szCs w:val="32"/>
          <w:lang w:val="en-US" w:eastAsia="zh-CN"/>
        </w:rPr>
        <w:t>签订合同</w:t>
      </w:r>
      <w:r>
        <w:rPr>
          <w:rFonts w:hint="eastAsia" w:eastAsia="方正仿宋_GBK" w:cs="Times New Roman"/>
          <w:bCs/>
          <w:sz w:val="32"/>
          <w:szCs w:val="32"/>
          <w:lang w:val="en-US" w:eastAsia="zh-CN"/>
        </w:rPr>
        <w:t>后，</w:t>
      </w:r>
      <w:r>
        <w:rPr>
          <w:rFonts w:hint="default" w:ascii="Times New Roman" w:hAnsi="Times New Roman" w:eastAsia="方正仿宋_GBK" w:cs="Times New Roman"/>
          <w:bCs/>
          <w:sz w:val="32"/>
          <w:szCs w:val="32"/>
          <w:lang w:val="en-US" w:eastAsia="zh-CN"/>
        </w:rPr>
        <w:t>采购人自收到供应商开具的等额</w:t>
      </w:r>
      <w:r>
        <w:rPr>
          <w:rFonts w:hint="eastAsia" w:eastAsia="方正仿宋_GBK" w:cs="Times New Roman"/>
          <w:bCs/>
          <w:sz w:val="32"/>
          <w:szCs w:val="32"/>
          <w:lang w:val="en-US" w:eastAsia="zh-CN"/>
        </w:rPr>
        <w:t>普通</w:t>
      </w:r>
      <w:r>
        <w:rPr>
          <w:rFonts w:hint="default" w:ascii="Times New Roman" w:hAnsi="Times New Roman" w:eastAsia="方正仿宋_GBK" w:cs="Times New Roman"/>
          <w:bCs/>
          <w:sz w:val="32"/>
          <w:szCs w:val="32"/>
          <w:lang w:val="en-US" w:eastAsia="zh-CN"/>
        </w:rPr>
        <w:t>发票</w:t>
      </w:r>
      <w:r>
        <w:rPr>
          <w:rFonts w:hint="eastAsia" w:ascii="Times New Roman" w:hAnsi="Times New Roman" w:eastAsia="方正仿宋_GBK" w:cs="Times New Roman"/>
          <w:bCs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bCs/>
          <w:sz w:val="32"/>
          <w:szCs w:val="32"/>
          <w:lang w:val="en-US" w:eastAsia="zh-CN"/>
        </w:rPr>
        <w:t>0</w:t>
      </w:r>
      <w:r>
        <w:rPr>
          <w:rFonts w:hint="eastAsia" w:eastAsia="方正仿宋_GBK" w:cs="Times New Roman"/>
          <w:bCs/>
          <w:sz w:val="32"/>
          <w:szCs w:val="32"/>
          <w:lang w:val="en-US" w:eastAsia="zh-CN"/>
        </w:rPr>
        <w:t>个工作</w:t>
      </w:r>
      <w:r>
        <w:rPr>
          <w:rFonts w:hint="default" w:ascii="Times New Roman" w:hAnsi="Times New Roman" w:eastAsia="方正仿宋_GBK" w:cs="Times New Roman"/>
          <w:bCs/>
          <w:sz w:val="32"/>
          <w:szCs w:val="32"/>
          <w:lang w:val="en-US" w:eastAsia="zh-CN"/>
        </w:rPr>
        <w:t>日内，支付</w:t>
      </w:r>
      <w:r>
        <w:rPr>
          <w:rFonts w:hint="eastAsia" w:eastAsia="方正仿宋_GBK" w:cs="Times New Roman"/>
          <w:bCs/>
          <w:sz w:val="32"/>
          <w:szCs w:val="32"/>
          <w:lang w:val="en-US" w:eastAsia="zh-CN"/>
        </w:rPr>
        <w:t>首款（</w:t>
      </w:r>
      <w:r>
        <w:rPr>
          <w:rFonts w:hint="default" w:ascii="Times New Roman" w:hAnsi="Times New Roman" w:eastAsia="方正仿宋_GBK" w:cs="Times New Roman"/>
          <w:bCs/>
          <w:sz w:val="32"/>
          <w:szCs w:val="32"/>
          <w:lang w:val="en-US" w:eastAsia="zh-CN"/>
        </w:rPr>
        <w:t>合同总金额的70%</w:t>
      </w:r>
      <w:r>
        <w:rPr>
          <w:rFonts w:hint="eastAsia" w:eastAsia="方正仿宋_GBK" w:cs="Times New Roman"/>
          <w:bCs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方正仿宋_GBK" w:cs="Times New Roman"/>
          <w:bCs/>
          <w:sz w:val="32"/>
          <w:szCs w:val="32"/>
          <w:lang w:val="en-US" w:eastAsia="zh-CN"/>
        </w:rPr>
        <w:t>；项目履约验收合格后，采购人自收到供应商开具的等额</w:t>
      </w:r>
      <w:r>
        <w:rPr>
          <w:rFonts w:hint="eastAsia" w:eastAsia="方正仿宋_GBK" w:cs="Times New Roman"/>
          <w:bCs/>
          <w:sz w:val="32"/>
          <w:szCs w:val="32"/>
          <w:lang w:val="en-US" w:eastAsia="zh-CN"/>
        </w:rPr>
        <w:t>普通</w:t>
      </w:r>
      <w:r>
        <w:rPr>
          <w:rFonts w:hint="default" w:ascii="Times New Roman" w:hAnsi="Times New Roman" w:eastAsia="方正仿宋_GBK" w:cs="Times New Roman"/>
          <w:bCs/>
          <w:sz w:val="32"/>
          <w:szCs w:val="32"/>
          <w:lang w:val="en-US" w:eastAsia="zh-CN"/>
        </w:rPr>
        <w:t>发票</w:t>
      </w:r>
      <w:r>
        <w:rPr>
          <w:rFonts w:hint="eastAsia" w:ascii="Times New Roman" w:hAnsi="Times New Roman" w:eastAsia="方正仿宋_GBK" w:cs="Times New Roman"/>
          <w:bCs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bCs/>
          <w:sz w:val="32"/>
          <w:szCs w:val="32"/>
          <w:lang w:val="en-US" w:eastAsia="zh-CN"/>
        </w:rPr>
        <w:t>0</w:t>
      </w:r>
      <w:r>
        <w:rPr>
          <w:rFonts w:hint="eastAsia" w:eastAsia="方正仿宋_GBK" w:cs="Times New Roman"/>
          <w:bCs/>
          <w:sz w:val="32"/>
          <w:szCs w:val="32"/>
          <w:lang w:val="en-US" w:eastAsia="zh-CN"/>
        </w:rPr>
        <w:t>个工作</w:t>
      </w:r>
      <w:r>
        <w:rPr>
          <w:rFonts w:hint="default" w:ascii="Times New Roman" w:hAnsi="Times New Roman" w:eastAsia="方正仿宋_GBK" w:cs="Times New Roman"/>
          <w:bCs/>
          <w:sz w:val="32"/>
          <w:szCs w:val="32"/>
          <w:lang w:val="en-US" w:eastAsia="zh-CN"/>
        </w:rPr>
        <w:t>日内，支付</w:t>
      </w:r>
      <w:r>
        <w:rPr>
          <w:rFonts w:hint="eastAsia" w:eastAsia="方正仿宋_GBK" w:cs="Times New Roman"/>
          <w:bCs/>
          <w:sz w:val="32"/>
          <w:szCs w:val="32"/>
          <w:lang w:val="en-US" w:eastAsia="zh-CN"/>
        </w:rPr>
        <w:t>尾款（</w:t>
      </w:r>
      <w:r>
        <w:rPr>
          <w:rFonts w:hint="default" w:ascii="Times New Roman" w:hAnsi="Times New Roman" w:eastAsia="方正仿宋_GBK" w:cs="Times New Roman"/>
          <w:bCs/>
          <w:sz w:val="32"/>
          <w:szCs w:val="32"/>
          <w:lang w:val="en-US" w:eastAsia="zh-CN"/>
        </w:rPr>
        <w:t>合同总金额的30%</w:t>
      </w:r>
      <w:r>
        <w:rPr>
          <w:rFonts w:hint="eastAsia" w:eastAsia="方正仿宋_GBK" w:cs="Times New Roman"/>
          <w:bCs/>
          <w:sz w:val="32"/>
          <w:szCs w:val="32"/>
          <w:lang w:val="en-US" w:eastAsia="zh-CN"/>
        </w:rPr>
        <w:t>）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；若结算总金额小于已支付金额的，供应商须如数退还多余金额。</w:t>
      </w:r>
    </w:p>
    <w:p w14:paraId="6C56AC0A">
      <w:pPr>
        <w:spacing w:line="594" w:lineRule="exact"/>
        <w:ind w:firstLine="640" w:firstLineChars="200"/>
        <w:jc w:val="both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（三）体检清单</w:t>
      </w:r>
    </w:p>
    <w:tbl>
      <w:tblPr>
        <w:tblStyle w:val="7"/>
        <w:tblW w:w="5694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7"/>
        <w:gridCol w:w="2236"/>
        <w:gridCol w:w="2327"/>
        <w:gridCol w:w="1638"/>
        <w:gridCol w:w="2887"/>
      </w:tblGrid>
      <w:tr w14:paraId="639FC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1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05A8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项目</w:t>
            </w:r>
          </w:p>
        </w:tc>
        <w:tc>
          <w:tcPr>
            <w:tcW w:w="115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F871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体检项目</w:t>
            </w:r>
          </w:p>
        </w:tc>
        <w:tc>
          <w:tcPr>
            <w:tcW w:w="35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4DBE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人员类型</w:t>
            </w:r>
          </w:p>
        </w:tc>
      </w:tr>
      <w:tr w14:paraId="5AD93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961A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2468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BDA9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B50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E5E0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女未婚</w:t>
            </w:r>
          </w:p>
        </w:tc>
      </w:tr>
      <w:tr w14:paraId="32CD5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31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DBCF4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化验检查</w:t>
            </w:r>
          </w:p>
        </w:tc>
        <w:tc>
          <w:tcPr>
            <w:tcW w:w="11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02AEB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血细胞分析</w:t>
            </w:r>
          </w:p>
        </w:tc>
        <w:tc>
          <w:tcPr>
            <w:tcW w:w="1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61C4F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√</w:t>
            </w:r>
          </w:p>
        </w:tc>
        <w:tc>
          <w:tcPr>
            <w:tcW w:w="8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0C3F6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√</w:t>
            </w:r>
          </w:p>
        </w:tc>
        <w:tc>
          <w:tcPr>
            <w:tcW w:w="1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EACC8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√</w:t>
            </w:r>
          </w:p>
        </w:tc>
      </w:tr>
      <w:tr w14:paraId="4CD27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3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35829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C6D2C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肝功能I</w:t>
            </w:r>
          </w:p>
        </w:tc>
        <w:tc>
          <w:tcPr>
            <w:tcW w:w="1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4098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√</w:t>
            </w:r>
          </w:p>
        </w:tc>
        <w:tc>
          <w:tcPr>
            <w:tcW w:w="8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1846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√</w:t>
            </w:r>
          </w:p>
        </w:tc>
        <w:tc>
          <w:tcPr>
            <w:tcW w:w="1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6569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√</w:t>
            </w:r>
          </w:p>
        </w:tc>
      </w:tr>
      <w:tr w14:paraId="12E2B1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3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8908F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A6E37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肾功能I</w:t>
            </w:r>
          </w:p>
        </w:tc>
        <w:tc>
          <w:tcPr>
            <w:tcW w:w="1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4DD5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√</w:t>
            </w:r>
          </w:p>
        </w:tc>
        <w:tc>
          <w:tcPr>
            <w:tcW w:w="8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93BEF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√</w:t>
            </w:r>
          </w:p>
        </w:tc>
        <w:tc>
          <w:tcPr>
            <w:tcW w:w="1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C448F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√</w:t>
            </w:r>
          </w:p>
        </w:tc>
      </w:tr>
      <w:tr w14:paraId="29321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3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15D35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44E6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血脂I、II（四项）</w:t>
            </w:r>
          </w:p>
        </w:tc>
        <w:tc>
          <w:tcPr>
            <w:tcW w:w="1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67E53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√</w:t>
            </w:r>
          </w:p>
        </w:tc>
        <w:tc>
          <w:tcPr>
            <w:tcW w:w="8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52503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√</w:t>
            </w:r>
          </w:p>
        </w:tc>
        <w:tc>
          <w:tcPr>
            <w:tcW w:w="1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95D02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√</w:t>
            </w:r>
          </w:p>
        </w:tc>
      </w:tr>
      <w:tr w14:paraId="30452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3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C7773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C2F8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甲胎蛋白AFP</w:t>
            </w:r>
          </w:p>
        </w:tc>
        <w:tc>
          <w:tcPr>
            <w:tcW w:w="1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CB53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√</w:t>
            </w:r>
          </w:p>
        </w:tc>
        <w:tc>
          <w:tcPr>
            <w:tcW w:w="8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F5E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√</w:t>
            </w:r>
          </w:p>
        </w:tc>
        <w:tc>
          <w:tcPr>
            <w:tcW w:w="1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B749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√</w:t>
            </w:r>
          </w:p>
        </w:tc>
      </w:tr>
      <w:tr w14:paraId="2EC83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3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1345A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D195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癌胚抗原CEA</w:t>
            </w:r>
          </w:p>
        </w:tc>
        <w:tc>
          <w:tcPr>
            <w:tcW w:w="1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BC4A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√</w:t>
            </w:r>
          </w:p>
        </w:tc>
        <w:tc>
          <w:tcPr>
            <w:tcW w:w="8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A508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√</w:t>
            </w:r>
          </w:p>
        </w:tc>
        <w:tc>
          <w:tcPr>
            <w:tcW w:w="1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0DBD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√</w:t>
            </w:r>
          </w:p>
        </w:tc>
      </w:tr>
      <w:tr w14:paraId="1A176B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3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771C9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DC54E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尿液分析</w:t>
            </w:r>
          </w:p>
        </w:tc>
        <w:tc>
          <w:tcPr>
            <w:tcW w:w="1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BD5A6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√</w:t>
            </w:r>
          </w:p>
        </w:tc>
        <w:tc>
          <w:tcPr>
            <w:tcW w:w="8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0F85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√</w:t>
            </w:r>
          </w:p>
        </w:tc>
        <w:tc>
          <w:tcPr>
            <w:tcW w:w="1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4F21A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√</w:t>
            </w:r>
          </w:p>
        </w:tc>
      </w:tr>
      <w:tr w14:paraId="12C7B4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31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C25AA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深度检查</w:t>
            </w:r>
          </w:p>
        </w:tc>
        <w:tc>
          <w:tcPr>
            <w:tcW w:w="11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58CFC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男性彩超(肝、胆、胰、脾）</w:t>
            </w:r>
          </w:p>
        </w:tc>
        <w:tc>
          <w:tcPr>
            <w:tcW w:w="1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F1EC8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√</w:t>
            </w:r>
          </w:p>
        </w:tc>
        <w:tc>
          <w:tcPr>
            <w:tcW w:w="8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3280F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\</w:t>
            </w:r>
          </w:p>
        </w:tc>
        <w:tc>
          <w:tcPr>
            <w:tcW w:w="1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2CD1A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\</w:t>
            </w:r>
          </w:p>
        </w:tc>
      </w:tr>
      <w:tr w14:paraId="5B3AF9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3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E9018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4FE0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男性彩超(双肾输尿管膀胱前列腺)</w:t>
            </w:r>
          </w:p>
        </w:tc>
        <w:tc>
          <w:tcPr>
            <w:tcW w:w="1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EF14D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√</w:t>
            </w:r>
          </w:p>
        </w:tc>
        <w:tc>
          <w:tcPr>
            <w:tcW w:w="8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9E5C7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\</w:t>
            </w:r>
          </w:p>
        </w:tc>
        <w:tc>
          <w:tcPr>
            <w:tcW w:w="1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C292A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\</w:t>
            </w:r>
          </w:p>
        </w:tc>
      </w:tr>
      <w:tr w14:paraId="154FCD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3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FAD2B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E5AE2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女性彩超(肝、胆、胰、脾）</w:t>
            </w:r>
          </w:p>
        </w:tc>
        <w:tc>
          <w:tcPr>
            <w:tcW w:w="1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84DA2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\</w:t>
            </w:r>
          </w:p>
        </w:tc>
        <w:tc>
          <w:tcPr>
            <w:tcW w:w="8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DC793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√</w:t>
            </w:r>
          </w:p>
        </w:tc>
        <w:tc>
          <w:tcPr>
            <w:tcW w:w="1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F52D5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√</w:t>
            </w:r>
          </w:p>
        </w:tc>
      </w:tr>
      <w:tr w14:paraId="42F30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3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E4274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9A7CA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女性彩超（双肾、输尿管、膀胱）</w:t>
            </w:r>
          </w:p>
        </w:tc>
        <w:tc>
          <w:tcPr>
            <w:tcW w:w="1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917AB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\</w:t>
            </w:r>
          </w:p>
        </w:tc>
        <w:tc>
          <w:tcPr>
            <w:tcW w:w="8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A991B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√</w:t>
            </w:r>
          </w:p>
        </w:tc>
        <w:tc>
          <w:tcPr>
            <w:tcW w:w="1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7A8FA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√</w:t>
            </w:r>
          </w:p>
        </w:tc>
      </w:tr>
      <w:tr w14:paraId="7A103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3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0213D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D2635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女性彩超(子宫、附件)</w:t>
            </w:r>
          </w:p>
        </w:tc>
        <w:tc>
          <w:tcPr>
            <w:tcW w:w="1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40AC7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\</w:t>
            </w:r>
          </w:p>
        </w:tc>
        <w:tc>
          <w:tcPr>
            <w:tcW w:w="8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30008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√</w:t>
            </w:r>
          </w:p>
        </w:tc>
        <w:tc>
          <w:tcPr>
            <w:tcW w:w="1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89934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√</w:t>
            </w:r>
          </w:p>
        </w:tc>
      </w:tr>
      <w:tr w14:paraId="42CFD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3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256C2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19F1F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甲状腺及颈部淋巴结彩超</w:t>
            </w:r>
          </w:p>
        </w:tc>
        <w:tc>
          <w:tcPr>
            <w:tcW w:w="1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D7798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√</w:t>
            </w:r>
          </w:p>
        </w:tc>
        <w:tc>
          <w:tcPr>
            <w:tcW w:w="8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0E202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√</w:t>
            </w:r>
          </w:p>
        </w:tc>
        <w:tc>
          <w:tcPr>
            <w:tcW w:w="1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6557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√</w:t>
            </w:r>
          </w:p>
        </w:tc>
      </w:tr>
      <w:tr w14:paraId="6990DB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3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DA25F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47916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乳腺及腋下淋巴结彩超</w:t>
            </w:r>
          </w:p>
        </w:tc>
        <w:tc>
          <w:tcPr>
            <w:tcW w:w="1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3AEAC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\</w:t>
            </w:r>
          </w:p>
        </w:tc>
        <w:tc>
          <w:tcPr>
            <w:tcW w:w="8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6267B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√</w:t>
            </w:r>
          </w:p>
        </w:tc>
        <w:tc>
          <w:tcPr>
            <w:tcW w:w="1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2552B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√</w:t>
            </w:r>
          </w:p>
        </w:tc>
      </w:tr>
      <w:tr w14:paraId="2A00D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3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FFFC7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AB2E3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胸部CT扫描</w:t>
            </w:r>
          </w:p>
        </w:tc>
        <w:tc>
          <w:tcPr>
            <w:tcW w:w="1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CD269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√</w:t>
            </w:r>
          </w:p>
        </w:tc>
        <w:tc>
          <w:tcPr>
            <w:tcW w:w="8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2830C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√</w:t>
            </w:r>
          </w:p>
        </w:tc>
        <w:tc>
          <w:tcPr>
            <w:tcW w:w="1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2D152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√</w:t>
            </w:r>
          </w:p>
        </w:tc>
      </w:tr>
      <w:tr w14:paraId="693F8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31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34131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2A3D5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12导联心电图</w:t>
            </w:r>
          </w:p>
        </w:tc>
        <w:tc>
          <w:tcPr>
            <w:tcW w:w="1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B6610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√</w:t>
            </w:r>
          </w:p>
        </w:tc>
        <w:tc>
          <w:tcPr>
            <w:tcW w:w="8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B726A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√</w:t>
            </w:r>
          </w:p>
        </w:tc>
        <w:tc>
          <w:tcPr>
            <w:tcW w:w="1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2ACCF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√</w:t>
            </w:r>
          </w:p>
        </w:tc>
      </w:tr>
      <w:tr w14:paraId="437C7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317" w:type="pct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30A96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临床体格检查</w:t>
            </w:r>
          </w:p>
        </w:tc>
        <w:tc>
          <w:tcPr>
            <w:tcW w:w="11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1867F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一般检查</w:t>
            </w:r>
          </w:p>
        </w:tc>
        <w:tc>
          <w:tcPr>
            <w:tcW w:w="1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1D264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√</w:t>
            </w:r>
          </w:p>
        </w:tc>
        <w:tc>
          <w:tcPr>
            <w:tcW w:w="8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9B7FD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√</w:t>
            </w:r>
          </w:p>
        </w:tc>
        <w:tc>
          <w:tcPr>
            <w:tcW w:w="1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35E83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√</w:t>
            </w:r>
          </w:p>
        </w:tc>
      </w:tr>
      <w:tr w14:paraId="1B2094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317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E238A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C3F8B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内科</w:t>
            </w:r>
          </w:p>
        </w:tc>
        <w:tc>
          <w:tcPr>
            <w:tcW w:w="1198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090A4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√</w:t>
            </w:r>
          </w:p>
        </w:tc>
        <w:tc>
          <w:tcPr>
            <w:tcW w:w="843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9024A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√</w:t>
            </w:r>
          </w:p>
        </w:tc>
        <w:tc>
          <w:tcPr>
            <w:tcW w:w="148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07907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√</w:t>
            </w:r>
          </w:p>
        </w:tc>
      </w:tr>
      <w:tr w14:paraId="3E08DE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31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62F55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BC22E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宫颈液基细胞学检查</w:t>
            </w:r>
          </w:p>
        </w:tc>
        <w:tc>
          <w:tcPr>
            <w:tcW w:w="11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474E6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4C8B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√</w:t>
            </w:r>
          </w:p>
        </w:tc>
        <w:tc>
          <w:tcPr>
            <w:tcW w:w="14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65668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65AF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E1BBE8C">
            <w:pPr>
              <w:numPr>
                <w:ilvl w:val="0"/>
                <w:numId w:val="0"/>
              </w:numPr>
              <w:ind w:firstLine="643" w:firstLineChars="20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lang w:eastAsia="zh-CN"/>
              </w:rPr>
              <w:t>提示：请各位供应商在此体检清单的基础上，进行不低于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lang w:val="en-US" w:eastAsia="zh-CN"/>
              </w:rPr>
              <w:t>3项的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lang w:eastAsia="zh-CN"/>
              </w:rPr>
              <w:t>加项，并按照在职（在职男性按照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lang w:val="en-US" w:eastAsia="zh-CN"/>
              </w:rPr>
              <w:t>40岁以下和40岁以上制定体检套餐，在职女性按照已婚40岁以下和40岁以上制定体检套餐，在职女未婚制定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lang w:eastAsia="zh-CN"/>
              </w:rPr>
              <w:t>）和退休（退休人员按照男性和女性制定体检套餐）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lang w:val="en-US" w:eastAsia="zh-CN"/>
              </w:rPr>
              <w:t>制定体检套餐。</w:t>
            </w:r>
          </w:p>
        </w:tc>
      </w:tr>
    </w:tbl>
    <w:p w14:paraId="41FDF62E">
      <w:pPr>
        <w:numPr>
          <w:ilvl w:val="0"/>
          <w:numId w:val="0"/>
        </w:numPr>
        <w:ind w:firstLine="643" w:firstLineChars="200"/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E5FAEAA"/>
    <w:rsid w:val="00DF3269"/>
    <w:rsid w:val="018F6A3E"/>
    <w:rsid w:val="02A91D81"/>
    <w:rsid w:val="03B1713F"/>
    <w:rsid w:val="06FF6413"/>
    <w:rsid w:val="078D7EC3"/>
    <w:rsid w:val="09297778"/>
    <w:rsid w:val="0CBB102F"/>
    <w:rsid w:val="0DB066B9"/>
    <w:rsid w:val="1182553A"/>
    <w:rsid w:val="11DA5AB3"/>
    <w:rsid w:val="128312B1"/>
    <w:rsid w:val="12E12E71"/>
    <w:rsid w:val="16302145"/>
    <w:rsid w:val="16A843D2"/>
    <w:rsid w:val="17B46DA6"/>
    <w:rsid w:val="18B20308"/>
    <w:rsid w:val="18E720F7"/>
    <w:rsid w:val="1ABF306F"/>
    <w:rsid w:val="1CBA09BB"/>
    <w:rsid w:val="1D0D31E0"/>
    <w:rsid w:val="1E29229C"/>
    <w:rsid w:val="1E4F5A7B"/>
    <w:rsid w:val="1EAF02C7"/>
    <w:rsid w:val="1FDB7CA9"/>
    <w:rsid w:val="1FF561AE"/>
    <w:rsid w:val="200A1C59"/>
    <w:rsid w:val="214C62A1"/>
    <w:rsid w:val="22A939AB"/>
    <w:rsid w:val="22C50F92"/>
    <w:rsid w:val="23400B66"/>
    <w:rsid w:val="26B97F35"/>
    <w:rsid w:val="2A4D7312"/>
    <w:rsid w:val="2DC72F38"/>
    <w:rsid w:val="2DFF0C72"/>
    <w:rsid w:val="2F162BDB"/>
    <w:rsid w:val="30534F57"/>
    <w:rsid w:val="30735592"/>
    <w:rsid w:val="31BF118C"/>
    <w:rsid w:val="332B3F69"/>
    <w:rsid w:val="33A06705"/>
    <w:rsid w:val="34CA155F"/>
    <w:rsid w:val="37275B9D"/>
    <w:rsid w:val="39050DB8"/>
    <w:rsid w:val="395104A1"/>
    <w:rsid w:val="3E1877DF"/>
    <w:rsid w:val="3E6B790F"/>
    <w:rsid w:val="3F9F5709"/>
    <w:rsid w:val="4044666A"/>
    <w:rsid w:val="41810341"/>
    <w:rsid w:val="431E6FCF"/>
    <w:rsid w:val="451A1056"/>
    <w:rsid w:val="452D591E"/>
    <w:rsid w:val="45D73ADC"/>
    <w:rsid w:val="464B69A4"/>
    <w:rsid w:val="473C62ED"/>
    <w:rsid w:val="4AF73161"/>
    <w:rsid w:val="4C9B1D07"/>
    <w:rsid w:val="4DA60964"/>
    <w:rsid w:val="4E402B66"/>
    <w:rsid w:val="51275918"/>
    <w:rsid w:val="51656440"/>
    <w:rsid w:val="51A258E6"/>
    <w:rsid w:val="51B6571C"/>
    <w:rsid w:val="52FB52AE"/>
    <w:rsid w:val="54B42BFF"/>
    <w:rsid w:val="55CC2F32"/>
    <w:rsid w:val="56AE2637"/>
    <w:rsid w:val="57F325DA"/>
    <w:rsid w:val="580F5357"/>
    <w:rsid w:val="59B20CC2"/>
    <w:rsid w:val="5BAB0BC1"/>
    <w:rsid w:val="5F5ED897"/>
    <w:rsid w:val="604858AA"/>
    <w:rsid w:val="60F872D1"/>
    <w:rsid w:val="62E33669"/>
    <w:rsid w:val="642B52C7"/>
    <w:rsid w:val="64E52F3A"/>
    <w:rsid w:val="64FF0C2E"/>
    <w:rsid w:val="65F83E58"/>
    <w:rsid w:val="6787315C"/>
    <w:rsid w:val="67F307F2"/>
    <w:rsid w:val="699A10A4"/>
    <w:rsid w:val="6A446B8F"/>
    <w:rsid w:val="6A9516EC"/>
    <w:rsid w:val="6CA95923"/>
    <w:rsid w:val="6E7A1325"/>
    <w:rsid w:val="6EFBBFD1"/>
    <w:rsid w:val="6F2D283B"/>
    <w:rsid w:val="7089584F"/>
    <w:rsid w:val="71566079"/>
    <w:rsid w:val="729C3F60"/>
    <w:rsid w:val="73CE1381"/>
    <w:rsid w:val="74624D35"/>
    <w:rsid w:val="753252BB"/>
    <w:rsid w:val="76A553AD"/>
    <w:rsid w:val="790939D1"/>
    <w:rsid w:val="79E2210F"/>
    <w:rsid w:val="7EDB5E10"/>
    <w:rsid w:val="7F484B27"/>
    <w:rsid w:val="7F5E59D2"/>
    <w:rsid w:val="7F875650"/>
    <w:rsid w:val="8FFB3436"/>
    <w:rsid w:val="B5FE5820"/>
    <w:rsid w:val="B8ED3551"/>
    <w:rsid w:val="BE5FAEAA"/>
    <w:rsid w:val="BF76F497"/>
    <w:rsid w:val="C4F33A52"/>
    <w:rsid w:val="DFBB1B0F"/>
    <w:rsid w:val="ECFB7191"/>
    <w:rsid w:val="FEF0B2AB"/>
    <w:rsid w:val="FFF30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iPriority="99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index 5"/>
    <w:basedOn w:val="1"/>
    <w:next w:val="1"/>
    <w:unhideWhenUsed/>
    <w:qFormat/>
    <w:uiPriority w:val="99"/>
    <w:pPr>
      <w:ind w:left="2560" w:leftChars="800"/>
      <w:jc w:val="left"/>
    </w:pPr>
  </w:style>
  <w:style w:type="paragraph" w:styleId="4">
    <w:name w:val="Body Text"/>
    <w:basedOn w:val="1"/>
    <w:next w:val="1"/>
    <w:qFormat/>
    <w:uiPriority w:val="0"/>
    <w:pPr>
      <w:spacing w:after="120" w:afterLines="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1218</Words>
  <Characters>1267</Characters>
  <Lines>0</Lines>
  <Paragraphs>0</Paragraphs>
  <TotalTime>5</TotalTime>
  <ScaleCrop>false</ScaleCrop>
  <LinksUpToDate>false</LinksUpToDate>
  <CharactersWithSpaces>1274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2026-04-22T15:48:00Z</dcterms:created>
  <dc:creator>thtf</dc:creator>
  <cp:lastModifiedBy>杜翔</cp:lastModifiedBy>
  <cp:lastPrinted>2026-04-29T03:24:00Z</cp:lastPrinted>
  <dcterms:modified xsi:type="dcterms:W3CDTF">2026-06-15T02:29:53Z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5345068BE9AF473CB42E355A67A48C1F_13</vt:lpwstr>
  </property>
  <property fmtid="{D5CDD505-2E9C-101B-9397-08002B2CF9AE}" pid="4" name="KSOTemplateDocerSaveRecord">
    <vt:lpwstr>eyJoZGlkIjoiN2UzMGM3NzQ4ODUxYWI0OGM0ZjE1NGQxMzEzNDJmNTIiLCJ1c2VySWQiOiIxNjA4MDYxMzUwIn0=</vt:lpwstr>
  </property>
</Properties>
</file>