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CDB65">
      <w:pPr>
        <w:spacing w:line="594" w:lineRule="exact"/>
        <w:rPr>
          <w:rFonts w:ascii="方正黑体_GBK" w:hAnsi="等线" w:eastAsia="方正黑体_GBK" w:cs="Times New Roman"/>
          <w:sz w:val="32"/>
          <w:szCs w:val="44"/>
        </w:rPr>
      </w:pPr>
      <w:bookmarkStart w:id="1" w:name="_GoBack"/>
      <w:r>
        <w:rPr>
          <w:rFonts w:hint="eastAsia" w:ascii="方正黑体_GBK" w:hAnsi="等线" w:eastAsia="方正黑体_GBK" w:cs="Times New Roman"/>
          <w:sz w:val="32"/>
          <w:szCs w:val="44"/>
        </w:rPr>
        <w:t>附件1</w:t>
      </w:r>
    </w:p>
    <w:p w14:paraId="20C93AD2">
      <w:pPr>
        <w:spacing w:line="594" w:lineRule="exact"/>
        <w:rPr>
          <w:rFonts w:ascii="方正黑体_GBK" w:hAnsi="等线" w:eastAsia="方正黑体_GBK" w:cs="Times New Roman"/>
          <w:sz w:val="32"/>
          <w:szCs w:val="44"/>
        </w:rPr>
      </w:pPr>
    </w:p>
    <w:p w14:paraId="7B3E7FEA">
      <w:pPr>
        <w:spacing w:line="594" w:lineRule="exact"/>
        <w:jc w:val="center"/>
        <w:rPr>
          <w:rFonts w:ascii="方正小标宋_GBK" w:hAnsi="等线" w:eastAsia="方正小标宋_GBK" w:cs="Times New Roman"/>
          <w:sz w:val="44"/>
          <w:szCs w:val="44"/>
        </w:rPr>
      </w:pPr>
      <w:r>
        <w:rPr>
          <w:rFonts w:hint="eastAsia" w:ascii="方正小标宋_GBK" w:hAnsi="等线" w:eastAsia="方正小标宋_GBK" w:cs="Times New Roman"/>
          <w:sz w:val="44"/>
          <w:szCs w:val="44"/>
        </w:rPr>
        <w:t>成都市巴蜀文化生态保护区</w:t>
      </w:r>
    </w:p>
    <w:p w14:paraId="74924CE3">
      <w:pPr>
        <w:spacing w:line="594" w:lineRule="exact"/>
        <w:jc w:val="center"/>
        <w:rPr>
          <w:rFonts w:ascii="方正小标宋_GBK" w:hAnsi="等线" w:eastAsia="方正小标宋_GBK" w:cs="Times New Roman"/>
          <w:sz w:val="44"/>
          <w:szCs w:val="44"/>
        </w:rPr>
      </w:pPr>
      <w:r>
        <w:rPr>
          <w:rFonts w:hint="eastAsia" w:ascii="方正小标宋_GBK" w:hAnsi="等线" w:eastAsia="方正小标宋_GBK" w:cs="Times New Roman"/>
          <w:sz w:val="44"/>
          <w:szCs w:val="44"/>
        </w:rPr>
        <w:t>非遗资源普查（第一期）项目</w:t>
      </w:r>
    </w:p>
    <w:p w14:paraId="2621076A">
      <w:pPr>
        <w:spacing w:line="594" w:lineRule="exact"/>
        <w:jc w:val="center"/>
        <w:rPr>
          <w:rFonts w:ascii="方正小标宋_GBK" w:hAnsi="等线" w:eastAsia="方正小标宋_GBK" w:cs="Times New Roman"/>
          <w:sz w:val="44"/>
          <w:szCs w:val="44"/>
        </w:rPr>
      </w:pPr>
      <w:r>
        <w:rPr>
          <w:rFonts w:hint="eastAsia" w:ascii="方正小标宋_GBK" w:hAnsi="等线" w:eastAsia="方正小标宋_GBK" w:cs="Times New Roman"/>
          <w:sz w:val="44"/>
          <w:szCs w:val="44"/>
        </w:rPr>
        <w:t>初步采购需求</w:t>
      </w:r>
      <w:bookmarkEnd w:id="1"/>
    </w:p>
    <w:p w14:paraId="5900E92A">
      <w:pPr>
        <w:spacing w:line="594" w:lineRule="exact"/>
        <w:ind w:firstLine="640" w:firstLineChars="200"/>
        <w:rPr>
          <w:rFonts w:ascii="方正仿宋_GBK" w:hAnsi="等线" w:eastAsia="方正仿宋_GBK" w:cs="Times New Roman"/>
          <w:sz w:val="32"/>
          <w:szCs w:val="32"/>
        </w:rPr>
      </w:pPr>
    </w:p>
    <w:p w14:paraId="17741D00">
      <w:pPr>
        <w:spacing w:line="594" w:lineRule="exact"/>
        <w:ind w:firstLine="640" w:firstLineChars="200"/>
        <w:rPr>
          <w:rFonts w:ascii="方正黑体_GBK" w:hAnsi="等线" w:eastAsia="方正黑体_GBK" w:cs="Times New Roman"/>
          <w:sz w:val="32"/>
          <w:szCs w:val="32"/>
        </w:rPr>
      </w:pPr>
      <w:r>
        <w:rPr>
          <w:rFonts w:hint="eastAsia" w:ascii="方正黑体_GBK" w:hAnsi="等线" w:eastAsia="方正黑体_GBK" w:cs="Times New Roman"/>
          <w:sz w:val="32"/>
          <w:szCs w:val="32"/>
        </w:rPr>
        <w:t>一、项目概况</w:t>
      </w:r>
    </w:p>
    <w:p w14:paraId="54F86BD2">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项目名称：成都市巴蜀文化生态保护区非遗资源普查（第一期）项目</w:t>
      </w:r>
    </w:p>
    <w:p w14:paraId="5D742C15">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服务期限：2026年5月至2026年12月（共8个月）</w:t>
      </w:r>
    </w:p>
    <w:p w14:paraId="33758C81">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服务地点：成都市域内选定的3-5个试点区（市）县</w:t>
      </w:r>
    </w:p>
    <w:p w14:paraId="2382F7AF">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项目背景：为创建国家级巴蜀文化生态保护区，全面摸清成都市非遗资源家底，依据文化和旅游部第二次全国非遗资源普查工作要求，开展试点普查及存量档案数字化工作。</w:t>
      </w:r>
    </w:p>
    <w:p w14:paraId="1FA08176">
      <w:pPr>
        <w:spacing w:line="594" w:lineRule="exact"/>
        <w:ind w:firstLine="640" w:firstLineChars="200"/>
        <w:rPr>
          <w:rFonts w:ascii="方正黑体_GBK" w:hAnsi="等线" w:eastAsia="方正黑体_GBK" w:cs="Times New Roman"/>
          <w:sz w:val="32"/>
          <w:szCs w:val="32"/>
        </w:rPr>
      </w:pPr>
      <w:r>
        <w:rPr>
          <w:rFonts w:hint="eastAsia" w:ascii="方正黑体_GBK" w:hAnsi="等线" w:eastAsia="方正黑体_GBK" w:cs="Times New Roman"/>
          <w:sz w:val="32"/>
          <w:szCs w:val="32"/>
        </w:rPr>
        <w:t>二、服务内容及要求</w:t>
      </w:r>
    </w:p>
    <w:p w14:paraId="3A137938">
      <w:pPr>
        <w:spacing w:line="594" w:lineRule="exact"/>
        <w:ind w:firstLine="640" w:firstLineChars="200"/>
        <w:rPr>
          <w:rFonts w:ascii="方正楷体_GBK" w:hAnsi="等线" w:eastAsia="方正楷体_GBK" w:cs="Times New Roman"/>
          <w:sz w:val="32"/>
          <w:szCs w:val="32"/>
        </w:rPr>
      </w:pPr>
      <w:r>
        <w:rPr>
          <w:rFonts w:hint="eastAsia" w:ascii="方正楷体_GBK" w:hAnsi="等线" w:eastAsia="方正楷体_GBK" w:cs="Times New Roman"/>
          <w:sz w:val="32"/>
          <w:szCs w:val="32"/>
        </w:rPr>
        <w:t>（一）服务内容</w:t>
      </w:r>
    </w:p>
    <w:p w14:paraId="4898FFD1">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1.非遗资源普查试点</w:t>
      </w:r>
    </w:p>
    <w:p w14:paraId="5922C407">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（1）普查范围</w:t>
      </w:r>
    </w:p>
    <w:p w14:paraId="2B52EB19">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在采购人指定的3-5个试点区（市）县范围内开展。每个试点区（市）县需以社区（村）为单位进行拉网式普查。</w:t>
      </w:r>
    </w:p>
    <w:p w14:paraId="171C0F0F">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数量参考：根据成都市人民政府发布的《成都年鉴（</w:t>
      </w:r>
      <w:r>
        <w:rPr>
          <w:rFonts w:ascii="方正仿宋_GBK" w:hAnsi="等线" w:eastAsia="方正仿宋_GBK" w:cs="Times New Roman"/>
          <w:sz w:val="32"/>
          <w:szCs w:val="32"/>
        </w:rPr>
        <w:t>2025）》及最新统计数据，截至2024年底（2025年发布），成都市共有</w:t>
      </w:r>
      <w:r>
        <w:rPr>
          <w:rFonts w:hint="eastAsia" w:ascii="方正仿宋_GBK" w:hAnsi="等线" w:eastAsia="方正仿宋_GBK" w:cs="Times New Roman"/>
          <w:sz w:val="32"/>
          <w:szCs w:val="32"/>
        </w:rPr>
        <w:t>3</w:t>
      </w:r>
      <w:r>
        <w:rPr>
          <w:rFonts w:ascii="方正仿宋_GBK" w:hAnsi="等线" w:eastAsia="方正仿宋_GBK" w:cs="Times New Roman"/>
          <w:sz w:val="32"/>
          <w:szCs w:val="32"/>
        </w:rPr>
        <w:t>045</w:t>
      </w:r>
      <w:r>
        <w:rPr>
          <w:rFonts w:hint="eastAsia" w:ascii="方正仿宋_GBK" w:hAnsi="等线" w:eastAsia="方正仿宋_GBK" w:cs="Times New Roman"/>
          <w:sz w:val="32"/>
          <w:szCs w:val="32"/>
        </w:rPr>
        <w:t>个社区（村），平均每个区（市）县1</w:t>
      </w:r>
      <w:r>
        <w:rPr>
          <w:rFonts w:ascii="方正仿宋_GBK" w:hAnsi="等线" w:eastAsia="方正仿宋_GBK" w:cs="Times New Roman"/>
          <w:sz w:val="32"/>
          <w:szCs w:val="32"/>
        </w:rPr>
        <w:t>32</w:t>
      </w:r>
      <w:r>
        <w:rPr>
          <w:rFonts w:hint="eastAsia" w:ascii="方正仿宋_GBK" w:hAnsi="等线" w:eastAsia="方正仿宋_GBK" w:cs="Times New Roman"/>
          <w:sz w:val="32"/>
          <w:szCs w:val="32"/>
        </w:rPr>
        <w:t>个。</w:t>
      </w:r>
    </w:p>
    <w:p w14:paraId="4F839002">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（2）普查对象（暂定）</w:t>
      </w:r>
    </w:p>
    <w:p w14:paraId="37CDA7CA">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试点区（市）县范围内的四级（国家级、省级、市级、县级）非遗代表性项目及代表性传承人；试点区（市）县范围内的未列入各级名录的非遗资源。</w:t>
      </w:r>
    </w:p>
    <w:p w14:paraId="62F68DEB">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数量参考：成都市23个区（市）县</w:t>
      </w:r>
      <w:bookmarkStart w:id="0" w:name="OLE_LINK1"/>
      <w:r>
        <w:rPr>
          <w:rFonts w:hint="eastAsia" w:ascii="方正仿宋_GBK" w:hAnsi="等线" w:eastAsia="方正仿宋_GBK" w:cs="Times New Roman"/>
          <w:sz w:val="32"/>
          <w:szCs w:val="32"/>
        </w:rPr>
        <w:t>四级非遗</w:t>
      </w:r>
      <w:bookmarkEnd w:id="0"/>
      <w:r>
        <w:rPr>
          <w:rFonts w:hint="eastAsia" w:ascii="方正仿宋_GBK" w:hAnsi="等线" w:eastAsia="方正仿宋_GBK" w:cs="Times New Roman"/>
          <w:sz w:val="32"/>
          <w:szCs w:val="32"/>
        </w:rPr>
        <w:t>代表性项目数量平均值约为51个，四级非遗代表性传承人数平均值约为57人。未列入各级名录的非遗资源可按照1个区（市）县不少于50项测算。</w:t>
      </w:r>
    </w:p>
    <w:p w14:paraId="65B6BF8C">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注：普查对象及具体要求需参照文化和旅游部第二次全国非遗资源普查工作要求和标准执行。因文化和旅游部第二次全国非遗资源普查工作要求和标准预计2026年年中出台，目前暂时可参考《中国非物质文化遗产普查手册》（详见附件3）。</w:t>
      </w:r>
    </w:p>
    <w:p w14:paraId="627D129C">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（3）工作任务</w:t>
      </w:r>
    </w:p>
    <w:p w14:paraId="1691D368">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田野调查</w:t>
      </w:r>
      <w:r>
        <w:rPr>
          <w:rFonts w:hint="eastAsia" w:ascii="方正仿宋_GBK" w:hAnsi="等线" w:eastAsia="方正仿宋_GBK" w:cs="Times New Roman"/>
          <w:sz w:val="32"/>
          <w:szCs w:val="32"/>
        </w:rPr>
        <w:t>：组织普查员深入社区（村）进行实地走访、访谈、拍摄，需覆盖试点区域内所有已知的非遗项目及潜在资源点。</w:t>
      </w:r>
    </w:p>
    <w:p w14:paraId="48176367">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文献研究</w:t>
      </w:r>
      <w:r>
        <w:rPr>
          <w:rFonts w:hint="eastAsia" w:ascii="方正仿宋_GBK" w:hAnsi="等线" w:eastAsia="方正仿宋_GBK" w:cs="Times New Roman"/>
          <w:sz w:val="32"/>
          <w:szCs w:val="32"/>
        </w:rPr>
        <w:t>：查阅试点区（市）县的县志、乡志、古籍、文物档案等，梳理非遗线索。</w:t>
      </w:r>
    </w:p>
    <w:p w14:paraId="7A62661F">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线索征集</w:t>
      </w:r>
      <w:r>
        <w:rPr>
          <w:rFonts w:hint="eastAsia" w:ascii="方正仿宋_GBK" w:hAnsi="等线" w:eastAsia="方正仿宋_GBK" w:cs="Times New Roman"/>
          <w:sz w:val="32"/>
          <w:szCs w:val="32"/>
        </w:rPr>
        <w:t>：协助采购人开展非遗线索网络征集活动，整理民间反馈信息。</w:t>
      </w:r>
    </w:p>
    <w:p w14:paraId="298BEA4F">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数据采集</w:t>
      </w:r>
      <w:r>
        <w:rPr>
          <w:rFonts w:hint="eastAsia" w:ascii="方正仿宋_GBK" w:hAnsi="等线" w:eastAsia="方正仿宋_GBK" w:cs="Times New Roman"/>
          <w:sz w:val="32"/>
          <w:szCs w:val="32"/>
        </w:rPr>
        <w:t>：按照文化和旅游部第二次全国非遗资源普查标准，填写普查表格，采集文字、图片、音频、视频等数据。</w:t>
      </w:r>
    </w:p>
    <w:p w14:paraId="6B0F9453">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组织培训</w:t>
      </w:r>
      <w:r>
        <w:rPr>
          <w:rFonts w:hint="eastAsia" w:ascii="方正仿宋_GBK" w:hAnsi="等线" w:eastAsia="方正仿宋_GBK" w:cs="Times New Roman"/>
          <w:sz w:val="32"/>
          <w:szCs w:val="32"/>
        </w:rPr>
        <w:t>：协助采购人组织开展普查培训至少2次，参与培训的人员应包括试点区（市）县和涉及社区（村）的文化专干。</w:t>
      </w:r>
    </w:p>
    <w:p w14:paraId="5523E9C7">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（4）工作量测算参考（报价依据）</w:t>
      </w:r>
    </w:p>
    <w:p w14:paraId="6996C863">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试点区域</w:t>
      </w:r>
      <w:r>
        <w:rPr>
          <w:rFonts w:hint="eastAsia" w:ascii="方正仿宋_GBK" w:hAnsi="等线" w:eastAsia="方正仿宋_GBK" w:cs="Times New Roman"/>
          <w:sz w:val="32"/>
          <w:szCs w:val="32"/>
        </w:rPr>
        <w:t>：按5个区（市）县上限测算（或根据实际遴选数量调整，报价时需说明单价）。</w:t>
      </w:r>
    </w:p>
    <w:p w14:paraId="27C0DD5C">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人员投入</w:t>
      </w:r>
      <w:r>
        <w:rPr>
          <w:rFonts w:hint="eastAsia" w:ascii="方正仿宋_GBK" w:hAnsi="等线" w:eastAsia="方正仿宋_GBK" w:cs="Times New Roman"/>
          <w:sz w:val="32"/>
          <w:szCs w:val="32"/>
        </w:rPr>
        <w:t>：报价人可根据预估工作量提供人员投入建议，并在报价表中体现。</w:t>
      </w:r>
    </w:p>
    <w:p w14:paraId="0D01AF3B">
      <w:pPr>
        <w:spacing w:line="594" w:lineRule="exact"/>
        <w:ind w:firstLine="643" w:firstLineChars="200"/>
        <w:rPr>
          <w:rFonts w:ascii="方正仿宋_GBK" w:hAnsi="等线" w:eastAsia="方正仿宋_GBK" w:cs="Times New Roman"/>
          <w:sz w:val="32"/>
          <w:szCs w:val="32"/>
        </w:rPr>
      </w:pPr>
      <w:r>
        <w:rPr>
          <w:rFonts w:hint="eastAsia" w:ascii="方正仿宋_GBK" w:hAnsi="等线" w:eastAsia="方正仿宋_GBK" w:cs="Times New Roman"/>
          <w:b/>
          <w:sz w:val="32"/>
          <w:szCs w:val="32"/>
        </w:rPr>
        <w:t>设备要求</w:t>
      </w:r>
      <w:r>
        <w:rPr>
          <w:rFonts w:hint="eastAsia" w:ascii="方正仿宋_GBK" w:hAnsi="等线" w:eastAsia="方正仿宋_GBK" w:cs="Times New Roman"/>
          <w:sz w:val="32"/>
          <w:szCs w:val="32"/>
        </w:rPr>
        <w:t>：供应商需自备专业录音笔、单反相机、摄像机、无人机（可选）、移动存储设备等。</w:t>
      </w:r>
    </w:p>
    <w:p w14:paraId="09CF224B">
      <w:pPr>
        <w:spacing w:line="594" w:lineRule="exact"/>
        <w:ind w:firstLine="640" w:firstLineChars="200"/>
        <w:rPr>
          <w:rFonts w:ascii="方正仿宋_GBK" w:hAnsi="等线" w:eastAsia="方正仿宋_GBK" w:cs="Times New Roman"/>
          <w:sz w:val="32"/>
          <w:szCs w:val="32"/>
        </w:rPr>
      </w:pPr>
      <w:r>
        <w:rPr>
          <w:rFonts w:ascii="方正仿宋_GBK" w:hAnsi="等线" w:eastAsia="方正仿宋_GBK" w:cs="Times New Roman"/>
          <w:sz w:val="32"/>
          <w:szCs w:val="32"/>
        </w:rPr>
        <w:t>2</w:t>
      </w:r>
      <w:r>
        <w:rPr>
          <w:rFonts w:hint="eastAsia" w:ascii="方正仿宋_GBK" w:hAnsi="等线" w:eastAsia="方正仿宋_GBK" w:cs="Times New Roman"/>
          <w:sz w:val="32"/>
          <w:szCs w:val="32"/>
        </w:rPr>
        <w:t>.档案整理与数字化</w:t>
      </w:r>
    </w:p>
    <w:p w14:paraId="4CD59161">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（1）非遗项目档案整理及数字化</w:t>
      </w:r>
    </w:p>
    <w:p w14:paraId="2D151D11">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对成都市非物质文化遗产保护中心已有的非遗项目申报材料进行全面整理归档及数字化。其中，数字化工作包含对纸质档案进行高清扫描（不低于300DPI）、OCR识别、目录著录以及对老化磁带、光盘等载体进行修复、转录，转换为通用数字格式（如 MP4、WAV 等）。按照《纸质档案数字化规范》《档案著录规则》等标准，结合档案管理通用原则与非遗管理特殊性，对加工后的电子数据及原纸质档案进行分类、编目、装盒、入库。</w:t>
      </w:r>
    </w:p>
    <w:p w14:paraId="3FFB2571">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（2）图书文献整理归档</w:t>
      </w:r>
    </w:p>
    <w:p w14:paraId="5D0A4452">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对成都市非物质文化遗产保护中心已有的图书文献进行全面整理归档，结合图书分类标准和非遗工作实际对图书文献进行编目，形成《成都市非物质文化遗产保护中心馆藏图书目录》，并进行图书上架和盘点定位。</w:t>
      </w:r>
    </w:p>
    <w:p w14:paraId="37E0EF5D">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（3）工作量测算参考（报价依据）</w:t>
      </w:r>
    </w:p>
    <w:p w14:paraId="7172F2EC">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市级及以上非遗代表性项目共有336个，其中国家级非遗代表性项目25个、省级非遗代表性项目107个、市级非遗代表性项目204个。一般来说，国家级项目至少拥有国家级、省级、市级3份申报档案，省级项目至少拥有省级、市级2份申报档案，市级项目至少拥有市级1份申报档案（少数项目经过2次以上的申报才成功入选，则申报材料会多于一般性项目）。一般来说，一个项目的一份申报材料包含申报书1份（纸质版和电子版各一，项目申报书页数一般在50页以内）、申报视频1个（电子版）、申报照片10张（电子版）、其他辅助材料若干。</w:t>
      </w:r>
    </w:p>
    <w:p w14:paraId="5D9C21DF">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图书文献约有500本。</w:t>
      </w:r>
    </w:p>
    <w:p w14:paraId="712D98F9">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设备要求：供应商需自备专业扫描、装订、存储设备等。非遗项目档案已有储存柜，如整理装订后产生新的储存空间需求，则需供应商提供相应的储存设备。图书文献（约500本）需按采购人要求提供相应的储存设备。</w:t>
      </w:r>
    </w:p>
    <w:p w14:paraId="1494ED18">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3.数据整理与报告编制</w:t>
      </w:r>
    </w:p>
    <w:p w14:paraId="02A4212E">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（1）数据整理</w:t>
      </w:r>
    </w:p>
    <w:p w14:paraId="456EB766">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将普查试点采集的数据按照文化和旅游部第二次全国非遗资源普查标准和要求进行整理，如文化和旅游部第二次全国非遗资源普查有上传系统的要求，还需协助采购人进行数据上传工作。</w:t>
      </w:r>
    </w:p>
    <w:p w14:paraId="355052B7">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（2）报告编制</w:t>
      </w:r>
    </w:p>
    <w:p w14:paraId="07F77747">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撰写《成都市巴蜀文化生态保护区非遗资源普查试点工作报告》，内容包含1个总体报告和各试点区（市）县分区报告。</w:t>
      </w:r>
    </w:p>
    <w:p w14:paraId="220BDFB6">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（3）实物清单</w:t>
      </w:r>
    </w:p>
    <w:p w14:paraId="3EA87EC4">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形成普查过程中收集的实物（含图书文献等）汇总清单，并协助办理入库移交手续。</w:t>
      </w:r>
    </w:p>
    <w:p w14:paraId="4567B3A4">
      <w:pPr>
        <w:spacing w:line="594" w:lineRule="exact"/>
        <w:ind w:firstLine="640" w:firstLineChars="200"/>
        <w:rPr>
          <w:rFonts w:ascii="方正仿宋_GBK" w:hAnsi="等线" w:eastAsia="方正仿宋_GBK" w:cs="Times New Roman"/>
          <w:sz w:val="32"/>
          <w:szCs w:val="32"/>
        </w:rPr>
      </w:pPr>
      <w:r>
        <w:rPr>
          <w:rFonts w:hint="eastAsia" w:ascii="方正楷体_GBK" w:hAnsi="等线" w:eastAsia="方正楷体_GBK" w:cs="Times New Roman"/>
          <w:sz w:val="32"/>
          <w:szCs w:val="32"/>
        </w:rPr>
        <w:t>（二）技术及服务标准</w:t>
      </w:r>
    </w:p>
    <w:p w14:paraId="5F1EACC8">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1. 普查数据采集标准</w:t>
      </w:r>
    </w:p>
    <w:p w14:paraId="7A232D39">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按照文化和旅游部第二次全国非遗资源普查标准执行。</w:t>
      </w:r>
    </w:p>
    <w:p w14:paraId="5BCB9F91">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2. 档案整理及数字化标准</w:t>
      </w:r>
    </w:p>
    <w:p w14:paraId="5658237E">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参照《纸质档案数字化规范》（DA/T 31-2017）、《档案著录规则》（DA/T 18-2022）等执行。电子档案需与目录数据库一一对应，挂接准确率100%。</w:t>
      </w:r>
    </w:p>
    <w:p w14:paraId="2CE11511">
      <w:pPr>
        <w:spacing w:line="594" w:lineRule="exact"/>
        <w:ind w:firstLine="640" w:firstLineChars="200"/>
        <w:rPr>
          <w:rFonts w:ascii="方正仿宋_GBK" w:hAnsi="等线" w:eastAsia="方正仿宋_GBK" w:cs="Times New Roman"/>
          <w:sz w:val="32"/>
          <w:szCs w:val="32"/>
        </w:rPr>
      </w:pPr>
      <w:r>
        <w:rPr>
          <w:rFonts w:hint="eastAsia" w:ascii="方正楷体_GBK" w:hAnsi="等线" w:eastAsia="方正楷体_GBK" w:cs="Times New Roman"/>
          <w:sz w:val="32"/>
          <w:szCs w:val="32"/>
        </w:rPr>
        <w:t>（三）项目团队及人员要求</w:t>
      </w:r>
    </w:p>
    <w:p w14:paraId="63EC12DA">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供应商需组建执行工作组，至少包含项目负责人、田野调查组、档案数字化组、数据分析与报告组。可在报价表上体现人员数量。</w:t>
      </w:r>
    </w:p>
    <w:p w14:paraId="749D5118">
      <w:pPr>
        <w:spacing w:line="594" w:lineRule="exact"/>
        <w:ind w:firstLine="640" w:firstLineChars="200"/>
        <w:rPr>
          <w:rFonts w:ascii="方正仿宋_GBK" w:hAnsi="等线" w:eastAsia="方正仿宋_GBK" w:cs="Times New Roman"/>
          <w:sz w:val="32"/>
          <w:szCs w:val="32"/>
        </w:rPr>
      </w:pPr>
      <w:r>
        <w:rPr>
          <w:rFonts w:hint="eastAsia" w:ascii="方正仿宋_GBK" w:hAnsi="等线" w:eastAsia="方正仿宋_GBK" w:cs="Times New Roman"/>
          <w:sz w:val="32"/>
          <w:szCs w:val="32"/>
        </w:rPr>
        <w:t>供应商需协助采购人邀请省、市非遗专家参与本项目的执行，并承担专家劳务费及评审会议的组织工作。专家数量按照不少于100人次测算。</w:t>
      </w:r>
    </w:p>
    <w:p w14:paraId="65E25778">
      <w:r>
        <w:rPr>
          <w:rFonts w:hint="eastAsia" w:ascii="方正仿宋_GBK" w:hAnsi="等线" w:eastAsia="方正仿宋_GBK" w:cs="Times New Roman"/>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黑体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51F84"/>
    <w:rsid w:val="1E552304"/>
    <w:rsid w:val="676032B6"/>
    <w:rsid w:val="6C05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Ascii" w:hAnsiTheme="minorAscii" w:cstheme="minorBidi"/>
      <w:kern w:val="2"/>
      <w:sz w:val="22"/>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2026-03-12T06:33:00Z</dcterms:created>
  <dc:creator>杜翔</dc:creator>
  <cp:lastModifiedBy>杜翔</cp:lastModifiedBy>
  <dcterms:modified xsi:type="dcterms:W3CDTF">2026-03-12T06:35:31Z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A511D18FDAB6487BAA6877A19967C21C_11</vt:lpwstr>
  </property>
  <property fmtid="{D5CDD505-2E9C-101B-9397-08002B2CF9AE}" pid="4" name="KSOTemplateDocerSaveRecord">
    <vt:lpwstr>eyJoZGlkIjoiN2UzMGM3NzQ4ODUxYWI0OGM0ZjE1NGQxMzEzNDJmNTIiLCJ1c2VySWQiOiIxNjA4MDYxMzUwIn0=</vt:lpwstr>
  </property>
</Properties>
</file>