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line="600" w:lineRule="exact"/>
        <w:jc w:val="center"/>
        <w:rPr>
          <w:rFonts w:ascii="方正小标宋_GBK" w:hAnsi="方正小标宋_GBK" w:eastAsia="方正小标宋_GBK"/>
          <w:b w:val="0"/>
          <w:kern w:val="0"/>
          <w:szCs w:val="44"/>
        </w:rPr>
      </w:pPr>
    </w:p>
    <w:p>
      <w:pPr>
        <w:pStyle w:val="2"/>
        <w:spacing w:line="600" w:lineRule="exact"/>
        <w:jc w:val="center"/>
        <w:rPr>
          <w:rFonts w:ascii="方正小标宋_GBK" w:hAnsi="方正小标宋_GBK" w:eastAsia="方正小标宋_GBK"/>
          <w:b w:val="0"/>
          <w:kern w:val="0"/>
          <w:szCs w:val="44"/>
        </w:rPr>
      </w:pPr>
    </w:p>
    <w:p>
      <w:pPr>
        <w:pStyle w:val="2"/>
        <w:spacing w:line="600" w:lineRule="exact"/>
        <w:jc w:val="center"/>
        <w:rPr>
          <w:rFonts w:ascii="方正小标宋_GBK" w:hAnsi="方正小标宋_GBK" w:eastAsia="方正小标宋_GBK"/>
          <w:b w:val="0"/>
          <w:kern w:val="0"/>
          <w:szCs w:val="44"/>
        </w:rPr>
      </w:pPr>
    </w:p>
    <w:p>
      <w:pPr>
        <w:pStyle w:val="2"/>
        <w:spacing w:line="600" w:lineRule="exact"/>
        <w:jc w:val="center"/>
        <w:rPr>
          <w:rFonts w:ascii="方正小标宋_GBK" w:hAnsi="方正小标宋_GBK" w:eastAsia="方正小标宋_GBK"/>
          <w:b w:val="0"/>
          <w:kern w:val="0"/>
          <w:szCs w:val="44"/>
        </w:rPr>
      </w:pPr>
    </w:p>
    <w:p>
      <w:pPr>
        <w:pStyle w:val="2"/>
        <w:spacing w:line="600" w:lineRule="exact"/>
        <w:jc w:val="center"/>
        <w:rPr>
          <w:rFonts w:ascii="方正小标宋_GBK" w:hAnsi="方正小标宋_GBK" w:eastAsia="方正小标宋_GBK"/>
          <w:b w:val="0"/>
          <w:kern w:val="0"/>
          <w:szCs w:val="44"/>
        </w:rPr>
      </w:pPr>
      <w:r>
        <w:rPr>
          <w:rFonts w:hint="eastAsia" w:ascii="方正小标宋_GBK" w:hAnsi="方正小标宋_GBK" w:eastAsia="方正小标宋_GBK"/>
          <w:b w:val="0"/>
          <w:kern w:val="0"/>
          <w:szCs w:val="44"/>
        </w:rPr>
        <w:t>成都市非物质文化遗产保护中心</w:t>
      </w:r>
      <w:r>
        <w:rPr>
          <w:rFonts w:ascii="方正小标宋_GBK" w:hAnsi="方正小标宋_GBK" w:eastAsia="方正小标宋_GBK"/>
          <w:b w:val="0"/>
          <w:kern w:val="0"/>
          <w:szCs w:val="44"/>
        </w:rPr>
        <w:t>2016</w:t>
      </w:r>
      <w:r>
        <w:rPr>
          <w:rFonts w:hint="eastAsia" w:ascii="方正小标宋_GBK" w:hAnsi="方正小标宋_GBK" w:eastAsia="方正小标宋_GBK"/>
          <w:b w:val="0"/>
          <w:kern w:val="0"/>
          <w:szCs w:val="44"/>
        </w:rPr>
        <w:t>年</w:t>
      </w:r>
    </w:p>
    <w:p>
      <w:pPr>
        <w:pStyle w:val="2"/>
        <w:spacing w:line="600" w:lineRule="exact"/>
        <w:jc w:val="center"/>
        <w:rPr>
          <w:rFonts w:ascii="方正小标宋_GBK" w:hAnsi="方正小标宋_GBK" w:eastAsia="方正小标宋_GBK"/>
          <w:b w:val="0"/>
          <w:kern w:val="0"/>
          <w:szCs w:val="44"/>
        </w:rPr>
      </w:pPr>
      <w:r>
        <w:rPr>
          <w:rFonts w:hint="eastAsia" w:ascii="方正小标宋_GBK" w:hAnsi="方正小标宋_GBK" w:eastAsia="方正小标宋_GBK"/>
          <w:b w:val="0"/>
          <w:kern w:val="0"/>
          <w:szCs w:val="44"/>
        </w:rPr>
        <w:t>非物质文化遗产调查项目比选邀请书</w:t>
      </w:r>
    </w:p>
    <w:p>
      <w:pPr>
        <w:rPr>
          <w:rFonts w:eastAsia="Times New Roman"/>
          <w:color w:val="000000"/>
          <w:sz w:val="32"/>
          <w:szCs w:val="32"/>
          <w:u w:val="single"/>
        </w:rPr>
      </w:pPr>
    </w:p>
    <w:p>
      <w:pPr>
        <w:rPr>
          <w:rFonts w:ascii="??_GB2312" w:hAnsi="新宋体" w:eastAsia="Times New Roman"/>
          <w:sz w:val="32"/>
          <w:szCs w:val="32"/>
        </w:rPr>
      </w:pPr>
      <w:r>
        <w:rPr>
          <w:rFonts w:ascii="??_GB2312" w:hAnsi="新宋体" w:eastAsia="Times New Roman"/>
          <w:sz w:val="32"/>
          <w:szCs w:val="32"/>
        </w:rPr>
        <w:t xml:space="preserve"> </w:t>
      </w:r>
      <w:r>
        <w:rPr>
          <w:rFonts w:ascii="??_GB2312" w:hAnsi="新宋体" w:eastAsia="Times New Roman"/>
          <w:sz w:val="32"/>
          <w:szCs w:val="32"/>
          <w:u w:val="single"/>
        </w:rPr>
        <w:t xml:space="preserve">                  </w:t>
      </w:r>
      <w:r>
        <w:rPr>
          <w:rFonts w:ascii="??_GB2312" w:hAnsi="新宋体" w:eastAsia="Times New Roman"/>
          <w:sz w:val="32"/>
          <w:szCs w:val="32"/>
        </w:rPr>
        <w:t xml:space="preserve">： </w:t>
      </w:r>
    </w:p>
    <w:p>
      <w:pPr>
        <w:rPr>
          <w:rFonts w:ascii="??_GB2312" w:hAnsi="新宋体" w:eastAsia="Times New Roman"/>
          <w:sz w:val="32"/>
          <w:szCs w:val="32"/>
        </w:rPr>
      </w:pPr>
      <w:r>
        <w:rPr>
          <w:rFonts w:ascii="??_GB2312" w:hAnsi="新宋体" w:eastAsia="Times New Roman"/>
          <w:sz w:val="32"/>
          <w:szCs w:val="32"/>
        </w:rPr>
        <w:t xml:space="preserve">    为全面、真实、系统地记录成都市非物质文化遗产代表性项目和代表性传承人掌握的非遗知识和精湛技艺，完善非遗数据库建设，为非遗的传承、保护、研究、宣传奠定基础，成都市非物质文化遗产保护中心将组织开展2016年成都市非物质文化遗产调查工作。为充分发挥专业公司力量，特邀请贵公司参加本项目比选，希望贵公司收到比选邀请书后，按照项目内容的要求和条件编制投标文件。</w:t>
      </w:r>
    </w:p>
    <w:p>
      <w:pPr>
        <w:ind w:firstLine="31680" w:firstLineChars="200"/>
        <w:rPr>
          <w:rFonts w:ascii="黑体" w:hAnsi="方正小标宋_GBK" w:eastAsia="黑体"/>
          <w:sz w:val="32"/>
          <w:szCs w:val="32"/>
        </w:rPr>
      </w:pPr>
      <w:r>
        <w:rPr>
          <w:rFonts w:hint="eastAsia" w:ascii="黑体" w:hAnsi="方正小标宋_GBK" w:eastAsia="黑体"/>
          <w:sz w:val="32"/>
          <w:szCs w:val="32"/>
        </w:rPr>
        <w:t>一、招标人的名称和地址</w:t>
      </w:r>
    </w:p>
    <w:p>
      <w:pPr>
        <w:rPr>
          <w:rFonts w:ascii="??_GB2312" w:hAnsi="新宋体" w:eastAsia="Times New Roman"/>
          <w:sz w:val="32"/>
          <w:szCs w:val="32"/>
        </w:rPr>
      </w:pPr>
      <w:r>
        <w:rPr>
          <w:rFonts w:ascii="??_GB2312" w:hAnsi="新宋体" w:eastAsia="Times New Roman"/>
          <w:sz w:val="32"/>
          <w:szCs w:val="32"/>
        </w:rPr>
        <w:t xml:space="preserve">    招标人名称：成都市非物质文化遗产保护中心</w:t>
      </w:r>
    </w:p>
    <w:p>
      <w:pPr>
        <w:rPr>
          <w:rFonts w:ascii="??_GB2312" w:hAnsi="新宋体" w:eastAsia="Times New Roman"/>
          <w:sz w:val="32"/>
          <w:szCs w:val="32"/>
        </w:rPr>
      </w:pPr>
      <w:r>
        <w:rPr>
          <w:rFonts w:ascii="??_GB2312" w:hAnsi="新宋体" w:eastAsia="Times New Roman"/>
          <w:sz w:val="32"/>
          <w:szCs w:val="32"/>
        </w:rPr>
        <w:t xml:space="preserve">    招标人地址：成都市锦江区大业路39号（大业大厦）8层</w:t>
      </w:r>
    </w:p>
    <w:p>
      <w:pPr>
        <w:ind w:firstLine="31680" w:firstLineChars="200"/>
        <w:rPr>
          <w:rFonts w:ascii="黑体" w:hAnsi="方正小标宋_GBK" w:eastAsia="黑体"/>
          <w:sz w:val="32"/>
          <w:szCs w:val="32"/>
        </w:rPr>
      </w:pPr>
      <w:r>
        <w:rPr>
          <w:rFonts w:hint="eastAsia" w:ascii="黑体" w:hAnsi="方正小标宋_GBK" w:eastAsia="黑体"/>
          <w:sz w:val="32"/>
          <w:szCs w:val="32"/>
        </w:rPr>
        <w:t>二、比选内容</w:t>
      </w:r>
    </w:p>
    <w:p>
      <w:pPr>
        <w:rPr>
          <w:rFonts w:ascii="??_GB2312" w:hAnsi="新宋体" w:eastAsia="Times New Roman"/>
          <w:sz w:val="32"/>
          <w:szCs w:val="32"/>
        </w:rPr>
      </w:pPr>
      <w:r>
        <w:rPr>
          <w:rFonts w:ascii="??_GB2312" w:hAnsi="新宋体" w:eastAsia="Times New Roman"/>
          <w:sz w:val="32"/>
          <w:szCs w:val="32"/>
        </w:rPr>
        <w:t xml:space="preserve">    本次比选共一个服务包，内容为</w:t>
      </w:r>
      <w:r>
        <w:rPr>
          <w:rFonts w:ascii="??_GB2312" w:hAnsi="新宋体" w:eastAsia="Times New Roman"/>
          <w:sz w:val="32"/>
          <w:szCs w:val="32"/>
          <w:u w:val="single"/>
        </w:rPr>
        <w:t>成都市非物质文化遗产保护中心2016年非物质文化遗产调查项目（含9个成都市非遗代表性项目及其代表性传承人的图片和视频资料的采集、整理、编辑）</w:t>
      </w:r>
      <w:r>
        <w:rPr>
          <w:rFonts w:ascii="??_GB2312" w:hAnsi="新宋体" w:eastAsia="Times New Roman"/>
          <w:sz w:val="32"/>
          <w:szCs w:val="32"/>
        </w:rPr>
        <w:t>，预算金额（单位：人民币）：</w:t>
      </w:r>
      <w:r>
        <w:rPr>
          <w:rFonts w:ascii="??_GB2312" w:hAnsi="新宋体" w:eastAsia="Times New Roman"/>
          <w:sz w:val="32"/>
          <w:szCs w:val="32"/>
          <w:u w:val="single"/>
        </w:rPr>
        <w:t>19.8万元</w:t>
      </w:r>
      <w:r>
        <w:rPr>
          <w:rFonts w:ascii="??_GB2312" w:hAnsi="新宋体" w:eastAsia="Times New Roman"/>
          <w:sz w:val="32"/>
          <w:szCs w:val="32"/>
        </w:rPr>
        <w:t>（招标人不接受超过项目预算的投标），采购服务供应商一名。具体要求及参数见附件。</w:t>
      </w:r>
    </w:p>
    <w:p>
      <w:pPr>
        <w:rPr>
          <w:rFonts w:ascii="??_GB2312" w:hAnsi="新宋体" w:eastAsia="Times New Roman"/>
          <w:sz w:val="32"/>
          <w:szCs w:val="32"/>
        </w:rPr>
      </w:pPr>
      <w:r>
        <w:rPr>
          <w:rFonts w:ascii="??_GB2312" w:hAnsi="新宋体" w:eastAsia="Times New Roman"/>
          <w:sz w:val="32"/>
          <w:szCs w:val="32"/>
        </w:rPr>
        <w:t xml:space="preserve">    调查对象（项目及其代表性传承人）：汤长发麻饼制作技艺（皮仁远、汤克阳、汤晓梅）、瓷胎竹编（谭代明、游伟、张光香、杨兴全）、夹关高跷（郭加权）、蜀锦织造技艺（胡光俊）、四川车灯（夏曼云）、高台狮子、柏合草编（魏宗惠）、新繁棕编（朱木兰、高崇洋、阙爱军、潘福东）、四川相书（鲁国华）。</w:t>
      </w:r>
    </w:p>
    <w:p>
      <w:pPr>
        <w:ind w:firstLine="31680" w:firstLineChars="200"/>
        <w:rPr>
          <w:rFonts w:ascii="??_GB2312" w:hAnsi="新宋体" w:eastAsia="Times New Roman"/>
          <w:sz w:val="32"/>
          <w:szCs w:val="32"/>
        </w:rPr>
      </w:pPr>
      <w:r>
        <w:rPr>
          <w:rFonts w:ascii="??_GB2312" w:hAnsi="新宋体" w:eastAsia="Times New Roman"/>
          <w:sz w:val="32"/>
          <w:szCs w:val="32"/>
        </w:rPr>
        <w:t>调查地点：崇州市、邛崃市、金牛区、金堂县、龙泉驿区、新都区、武侯区。</w:t>
      </w:r>
    </w:p>
    <w:p>
      <w:pPr>
        <w:ind w:firstLine="31680" w:firstLineChars="200"/>
        <w:rPr>
          <w:rFonts w:ascii="黑体" w:hAnsi="方正小标宋_GBK" w:eastAsia="黑体"/>
          <w:sz w:val="32"/>
          <w:szCs w:val="32"/>
        </w:rPr>
      </w:pPr>
      <w:r>
        <w:rPr>
          <w:rFonts w:hint="eastAsia" w:ascii="黑体" w:hAnsi="方正小标宋_GBK" w:eastAsia="黑体"/>
          <w:sz w:val="32"/>
          <w:szCs w:val="32"/>
        </w:rPr>
        <w:t>三、合格供应商应具备的资格条件</w:t>
      </w:r>
    </w:p>
    <w:p>
      <w:pPr>
        <w:rPr>
          <w:rFonts w:ascii="??_GB2312" w:hAnsi="新宋体" w:eastAsia="Times New Roman"/>
          <w:sz w:val="32"/>
          <w:szCs w:val="32"/>
        </w:rPr>
      </w:pPr>
      <w:r>
        <w:rPr>
          <w:rFonts w:ascii="??_GB2312" w:hAnsi="新宋体" w:eastAsia="Times New Roman"/>
          <w:sz w:val="32"/>
          <w:szCs w:val="32"/>
        </w:rPr>
        <w:t xml:space="preserve">    具备《中华人民共和国政府采购法》第二十二条规定的条件：</w:t>
      </w:r>
    </w:p>
    <w:p>
      <w:pPr>
        <w:rPr>
          <w:rFonts w:ascii="??_GB2312" w:hAnsi="新宋体" w:eastAsia="Times New Roman"/>
          <w:sz w:val="32"/>
          <w:szCs w:val="32"/>
        </w:rPr>
      </w:pPr>
      <w:r>
        <w:rPr>
          <w:rFonts w:ascii="??_GB2312" w:hAnsi="新宋体" w:eastAsia="Times New Roman"/>
          <w:sz w:val="32"/>
          <w:szCs w:val="32"/>
        </w:rPr>
        <w:t xml:space="preserve">    （一）具有独立承担民事责任的能力（应提供有效的营业执照、组织机构代码证、税务登记证）。</w:t>
      </w:r>
    </w:p>
    <w:p>
      <w:pPr>
        <w:rPr>
          <w:rFonts w:ascii="??_GB2312" w:hAnsi="新宋体" w:eastAsia="Times New Roman"/>
          <w:sz w:val="32"/>
          <w:szCs w:val="32"/>
        </w:rPr>
      </w:pPr>
      <w:r>
        <w:rPr>
          <w:rFonts w:ascii="??_GB2312" w:hAnsi="新宋体" w:eastAsia="Times New Roman"/>
          <w:sz w:val="32"/>
          <w:szCs w:val="32"/>
        </w:rPr>
        <w:t xml:space="preserve">    （二）具有良好的商业信誉和健全的财务会计制度； </w:t>
      </w:r>
    </w:p>
    <w:p>
      <w:pPr>
        <w:rPr>
          <w:rFonts w:ascii="??_GB2312" w:hAnsi="新宋体" w:eastAsia="Times New Roman"/>
          <w:sz w:val="32"/>
          <w:szCs w:val="32"/>
        </w:rPr>
      </w:pPr>
      <w:r>
        <w:rPr>
          <w:rFonts w:ascii="??_GB2312" w:hAnsi="新宋体" w:eastAsia="Times New Roman"/>
          <w:sz w:val="32"/>
          <w:szCs w:val="32"/>
        </w:rPr>
        <w:t xml:space="preserve">    （三）具有履行合同所必需的设备和专业技术能力； </w:t>
      </w:r>
    </w:p>
    <w:p>
      <w:pPr>
        <w:rPr>
          <w:rFonts w:ascii="??_GB2312" w:hAnsi="新宋体" w:eastAsia="Times New Roman"/>
          <w:sz w:val="32"/>
          <w:szCs w:val="32"/>
        </w:rPr>
      </w:pPr>
      <w:r>
        <w:rPr>
          <w:rFonts w:ascii="??_GB2312" w:hAnsi="新宋体" w:eastAsia="Times New Roman"/>
          <w:sz w:val="32"/>
          <w:szCs w:val="32"/>
        </w:rPr>
        <w:t xml:space="preserve">    （四）有依法缴纳税收和社会保障资金的良好记录； </w:t>
      </w:r>
    </w:p>
    <w:p>
      <w:pPr>
        <w:rPr>
          <w:rFonts w:ascii="??_GB2312" w:hAnsi="新宋体" w:eastAsia="Times New Roman"/>
          <w:sz w:val="32"/>
          <w:szCs w:val="32"/>
        </w:rPr>
      </w:pPr>
      <w:r>
        <w:rPr>
          <w:rFonts w:ascii="??_GB2312" w:hAnsi="新宋体" w:eastAsia="Times New Roman"/>
          <w:sz w:val="32"/>
          <w:szCs w:val="32"/>
        </w:rPr>
        <w:t xml:space="preserve">    （五）参加政府采购活动前三年内，在经营活动中没有重大违法记录； </w:t>
      </w:r>
    </w:p>
    <w:p>
      <w:pPr>
        <w:rPr>
          <w:rFonts w:ascii="??_GB2312" w:hAnsi="新宋体" w:eastAsia="Times New Roman"/>
          <w:sz w:val="32"/>
          <w:szCs w:val="32"/>
        </w:rPr>
      </w:pPr>
      <w:r>
        <w:rPr>
          <w:rFonts w:ascii="??_GB2312" w:hAnsi="新宋体" w:eastAsia="Times New Roman"/>
          <w:sz w:val="32"/>
          <w:szCs w:val="32"/>
        </w:rPr>
        <w:t xml:space="preserve">    （六）法律、行政法规规定的其他条件。</w:t>
      </w:r>
    </w:p>
    <w:p>
      <w:pPr>
        <w:ind w:firstLine="31680" w:firstLineChars="200"/>
        <w:rPr>
          <w:rFonts w:ascii="黑体" w:hAnsi="方正小标宋_GBK" w:eastAsia="黑体"/>
          <w:sz w:val="32"/>
          <w:szCs w:val="32"/>
        </w:rPr>
      </w:pPr>
      <w:r>
        <w:rPr>
          <w:rFonts w:hint="eastAsia" w:ascii="黑体" w:hAnsi="方正小标宋_GBK" w:eastAsia="黑体"/>
          <w:sz w:val="32"/>
          <w:szCs w:val="32"/>
        </w:rPr>
        <w:t>四、提交投标文件</w:t>
      </w:r>
    </w:p>
    <w:p>
      <w:pPr>
        <w:rPr>
          <w:rFonts w:ascii="??_GB2312" w:hAnsi="新宋体" w:eastAsia="Times New Roman"/>
          <w:sz w:val="32"/>
          <w:szCs w:val="32"/>
        </w:rPr>
      </w:pPr>
      <w:r>
        <w:rPr>
          <w:rFonts w:ascii="??_GB2312" w:hAnsi="新宋体" w:eastAsia="Times New Roman"/>
          <w:sz w:val="32"/>
          <w:szCs w:val="32"/>
        </w:rPr>
        <w:t xml:space="preserve">    （一）调查工作方案；</w:t>
      </w:r>
    </w:p>
    <w:p>
      <w:pPr>
        <w:rPr>
          <w:rFonts w:ascii="??_GB2312" w:hAnsi="新宋体" w:eastAsia="Times New Roman"/>
          <w:sz w:val="32"/>
          <w:szCs w:val="32"/>
        </w:rPr>
      </w:pPr>
      <w:r>
        <w:rPr>
          <w:rFonts w:ascii="??_GB2312" w:hAnsi="新宋体" w:eastAsia="Times New Roman"/>
          <w:sz w:val="32"/>
          <w:szCs w:val="32"/>
        </w:rPr>
        <w:t xml:space="preserve">    （二）公司相关资质证明；</w:t>
      </w:r>
    </w:p>
    <w:p>
      <w:pPr>
        <w:rPr>
          <w:rFonts w:ascii="??_GB2312" w:hAnsi="新宋体" w:eastAsia="Times New Roman"/>
          <w:sz w:val="32"/>
          <w:szCs w:val="32"/>
        </w:rPr>
      </w:pPr>
      <w:r>
        <w:rPr>
          <w:rFonts w:ascii="??_GB2312" w:hAnsi="新宋体" w:eastAsia="Times New Roman"/>
          <w:sz w:val="32"/>
          <w:szCs w:val="32"/>
        </w:rPr>
        <w:t xml:space="preserve">    （三）公司业绩证明，即公司2013—2016年期间在相关项目方面的业绩及证明材料。（合同复印件为准）</w:t>
      </w:r>
    </w:p>
    <w:p>
      <w:pPr>
        <w:ind w:firstLine="640"/>
        <w:rPr>
          <w:rFonts w:ascii="??_GB2312" w:hAnsi="新宋体" w:eastAsia="Times New Roman"/>
          <w:sz w:val="32"/>
          <w:szCs w:val="32"/>
        </w:rPr>
      </w:pPr>
      <w:r>
        <w:rPr>
          <w:rFonts w:ascii="??_GB2312" w:hAnsi="新宋体" w:eastAsia="Times New Roman"/>
          <w:sz w:val="32"/>
          <w:szCs w:val="32"/>
        </w:rPr>
        <w:t>（四）报价，含项目总体预算报价和分项报价表。</w:t>
      </w:r>
    </w:p>
    <w:p>
      <w:pPr>
        <w:rPr>
          <w:rFonts w:ascii="??_GB2312" w:hAnsi="新宋体" w:eastAsia="Times New Roman"/>
          <w:sz w:val="32"/>
          <w:szCs w:val="32"/>
        </w:rPr>
      </w:pPr>
      <w:r>
        <w:rPr>
          <w:rFonts w:hint="eastAsia" w:ascii="??_GB2312" w:hAnsi="新宋体" w:eastAsia="Times New Roman"/>
          <w:sz w:val="32"/>
          <w:szCs w:val="32"/>
          <w:lang w:val="en-US" w:eastAsia="zh-CN"/>
        </w:rPr>
        <w:t xml:space="preserve">    </w:t>
      </w:r>
      <w:r>
        <w:rPr>
          <w:rFonts w:hint="eastAsia" w:ascii="??_GB2312" w:hAnsi="新宋体" w:eastAsia="Times New Roman"/>
          <w:sz w:val="32"/>
          <w:szCs w:val="32"/>
          <w:lang w:eastAsia="zh-CN"/>
        </w:rPr>
        <w:t>（五）投标文件一式三份。</w:t>
      </w:r>
    </w:p>
    <w:p>
      <w:pPr>
        <w:ind w:firstLine="31680" w:firstLineChars="200"/>
        <w:rPr>
          <w:rFonts w:ascii="黑体" w:hAnsi="方正小标宋_GBK" w:eastAsia="黑体"/>
          <w:sz w:val="32"/>
          <w:szCs w:val="32"/>
        </w:rPr>
      </w:pPr>
      <w:r>
        <w:rPr>
          <w:rFonts w:hint="eastAsia" w:ascii="黑体" w:hAnsi="方正小标宋_GBK" w:eastAsia="黑体"/>
          <w:sz w:val="32"/>
          <w:szCs w:val="32"/>
        </w:rPr>
        <w:t>五、递交投标文件截止时间及要求</w:t>
      </w:r>
    </w:p>
    <w:p>
      <w:pPr>
        <w:rPr>
          <w:rFonts w:ascii="??_GB2312" w:hAnsi="新宋体" w:eastAsia="Times New Roman"/>
          <w:sz w:val="32"/>
          <w:szCs w:val="32"/>
        </w:rPr>
      </w:pPr>
      <w:r>
        <w:rPr>
          <w:rFonts w:ascii="??_GB2312" w:hAnsi="新宋体" w:eastAsia="Times New Roman"/>
          <w:sz w:val="32"/>
          <w:szCs w:val="32"/>
        </w:rPr>
        <w:t xml:space="preserve">    供应商应于2016年8月</w:t>
      </w:r>
      <w:r>
        <w:rPr>
          <w:rFonts w:ascii="??_GB2312" w:hAnsi="新宋体"/>
          <w:sz w:val="32"/>
          <w:szCs w:val="32"/>
        </w:rPr>
        <w:t>31</w:t>
      </w:r>
      <w:r>
        <w:rPr>
          <w:rFonts w:ascii="??_GB2312" w:hAnsi="新宋体" w:eastAsia="Times New Roman"/>
          <w:sz w:val="32"/>
          <w:szCs w:val="32"/>
        </w:rPr>
        <w:t>日上午10：00至10:30分递交相应文件至比选地点（成都市大业路39号同瑞国际8楼会议室），逾期送达的将被拒绝。</w:t>
      </w:r>
    </w:p>
    <w:p>
      <w:pPr>
        <w:rPr>
          <w:rFonts w:ascii="??_GB2312" w:hAnsi="新宋体" w:eastAsia="Times New Roman"/>
          <w:sz w:val="32"/>
          <w:szCs w:val="32"/>
        </w:rPr>
      </w:pPr>
      <w:r>
        <w:rPr>
          <w:rFonts w:ascii="??_GB2312" w:hAnsi="新宋体" w:eastAsia="Times New Roman"/>
          <w:sz w:val="32"/>
          <w:szCs w:val="32"/>
        </w:rPr>
        <w:t xml:space="preserve">    所有投标文件均需置于密封的文件袋内提交给招标人，且投标人应对该文件袋加贴封条。招标人将在开标现场当面拆封。</w:t>
      </w:r>
    </w:p>
    <w:p>
      <w:pPr>
        <w:ind w:firstLine="31680" w:firstLineChars="200"/>
        <w:rPr>
          <w:rFonts w:ascii="黑体" w:hAnsi="方正小标宋_GBK" w:eastAsia="黑体"/>
          <w:sz w:val="32"/>
          <w:szCs w:val="32"/>
        </w:rPr>
      </w:pPr>
      <w:r>
        <w:rPr>
          <w:rFonts w:hint="eastAsia" w:ascii="黑体" w:hAnsi="方正小标宋_GBK" w:eastAsia="黑体"/>
          <w:sz w:val="32"/>
          <w:szCs w:val="32"/>
        </w:rPr>
        <w:t>六、评标与开标</w:t>
      </w:r>
    </w:p>
    <w:p>
      <w:pPr>
        <w:rPr>
          <w:rFonts w:ascii="??_GB2312" w:hAnsi="新宋体" w:eastAsia="Times New Roman"/>
          <w:sz w:val="32"/>
          <w:szCs w:val="32"/>
        </w:rPr>
      </w:pPr>
      <w:r>
        <w:rPr>
          <w:rFonts w:ascii="??_GB2312" w:hAnsi="新宋体" w:eastAsia="Times New Roman"/>
          <w:sz w:val="32"/>
          <w:szCs w:val="32"/>
        </w:rPr>
        <w:t xml:space="preserve">    开标时间：2016年8月</w:t>
      </w:r>
      <w:r>
        <w:rPr>
          <w:rFonts w:ascii="??_GB2312" w:hAnsi="新宋体"/>
          <w:sz w:val="32"/>
          <w:szCs w:val="32"/>
        </w:rPr>
        <w:t>31</w:t>
      </w:r>
      <w:r>
        <w:rPr>
          <w:rFonts w:ascii="??_GB2312" w:hAnsi="新宋体" w:eastAsia="Times New Roman"/>
          <w:sz w:val="32"/>
          <w:szCs w:val="32"/>
        </w:rPr>
        <w:t>日上午10:30</w:t>
      </w:r>
    </w:p>
    <w:p>
      <w:pPr>
        <w:rPr>
          <w:rFonts w:ascii="??_GB2312" w:hAnsi="新宋体" w:eastAsia="Times New Roman"/>
          <w:sz w:val="32"/>
          <w:szCs w:val="32"/>
        </w:rPr>
      </w:pPr>
      <w:r>
        <w:rPr>
          <w:rFonts w:ascii="??_GB2312" w:hAnsi="新宋体" w:eastAsia="Times New Roman"/>
          <w:sz w:val="32"/>
          <w:szCs w:val="32"/>
        </w:rPr>
        <w:t xml:space="preserve">    开标地点：成都市锦江区大业路39号同瑞国际8层会议室</w:t>
      </w:r>
    </w:p>
    <w:p>
      <w:pPr>
        <w:rPr>
          <w:rFonts w:ascii="??_GB2312" w:hAnsi="新宋体" w:eastAsia="Times New Roman"/>
          <w:sz w:val="32"/>
          <w:szCs w:val="32"/>
        </w:rPr>
      </w:pPr>
      <w:r>
        <w:rPr>
          <w:rFonts w:ascii="??_GB2312" w:hAnsi="新宋体" w:eastAsia="Times New Roman"/>
          <w:sz w:val="32"/>
          <w:szCs w:val="32"/>
        </w:rPr>
        <w:t xml:space="preserve">    评标原则：遵循公平、公正、科学、择优的原则，评委会对投标单位的标书和单位综合情况进行比选，确定中标单位。</w:t>
      </w:r>
    </w:p>
    <w:p>
      <w:pPr>
        <w:ind w:firstLine="31680" w:firstLineChars="200"/>
        <w:rPr>
          <w:rFonts w:ascii="黑体" w:hAnsi="方正小标宋_GBK" w:eastAsia="黑体"/>
          <w:sz w:val="32"/>
          <w:szCs w:val="32"/>
        </w:rPr>
      </w:pPr>
      <w:r>
        <w:rPr>
          <w:rFonts w:hint="eastAsia" w:ascii="黑体" w:hAnsi="方正小标宋_GBK" w:eastAsia="黑体"/>
          <w:sz w:val="32"/>
          <w:szCs w:val="32"/>
        </w:rPr>
        <w:t>七、联系人及联系电话</w:t>
      </w:r>
    </w:p>
    <w:p>
      <w:pPr>
        <w:rPr>
          <w:rFonts w:ascii="??_GB2312" w:hAnsi="新宋体" w:eastAsia="Times New Roman"/>
          <w:sz w:val="32"/>
          <w:szCs w:val="32"/>
        </w:rPr>
      </w:pPr>
      <w:r>
        <w:rPr>
          <w:rFonts w:ascii="??_GB2312" w:hAnsi="新宋体" w:eastAsia="Times New Roman"/>
          <w:sz w:val="32"/>
          <w:szCs w:val="32"/>
        </w:rPr>
        <w:t xml:space="preserve">    采购人：成都市非物质文化遗产保护中心</w:t>
      </w:r>
    </w:p>
    <w:p>
      <w:pPr>
        <w:rPr>
          <w:rFonts w:ascii="??_GB2312" w:hAnsi="新宋体" w:eastAsia="Times New Roman"/>
          <w:sz w:val="32"/>
          <w:szCs w:val="32"/>
        </w:rPr>
      </w:pPr>
      <w:r>
        <w:rPr>
          <w:rFonts w:ascii="??_GB2312" w:hAnsi="新宋体" w:eastAsia="Times New Roman"/>
          <w:sz w:val="32"/>
          <w:szCs w:val="32"/>
        </w:rPr>
        <w:t xml:space="preserve">    联系人：穆天钊</w:t>
      </w:r>
    </w:p>
    <w:p>
      <w:pPr>
        <w:rPr>
          <w:rFonts w:ascii="??_GB2312" w:hAnsi="新宋体" w:eastAsia="Times New Roman"/>
          <w:sz w:val="32"/>
          <w:szCs w:val="32"/>
        </w:rPr>
      </w:pPr>
      <w:r>
        <w:rPr>
          <w:rFonts w:ascii="??_GB2312" w:hAnsi="新宋体" w:eastAsia="Times New Roman"/>
          <w:sz w:val="32"/>
          <w:szCs w:val="32"/>
        </w:rPr>
        <w:t xml:space="preserve">    电  话：66323624</w:t>
      </w:r>
    </w:p>
    <w:p>
      <w:pPr>
        <w:rPr>
          <w:rFonts w:ascii="??_GB2312" w:hAnsi="新宋体" w:eastAsia="Times New Roman"/>
          <w:sz w:val="32"/>
          <w:szCs w:val="32"/>
        </w:rPr>
      </w:pPr>
      <w:r>
        <w:rPr>
          <w:rFonts w:ascii="??_GB2312" w:hAnsi="新宋体" w:eastAsia="Times New Roman"/>
          <w:sz w:val="32"/>
          <w:szCs w:val="32"/>
        </w:rPr>
        <w:t xml:space="preserve">    邮  箱：372928634@qq.com</w:t>
      </w:r>
    </w:p>
    <w:p>
      <w:pPr>
        <w:rPr>
          <w:rFonts w:ascii="??_GB2312" w:hAnsi="新宋体" w:eastAsia="Times New Roman"/>
          <w:sz w:val="32"/>
          <w:szCs w:val="32"/>
        </w:rPr>
      </w:pPr>
    </w:p>
    <w:p>
      <w:pPr>
        <w:ind w:left="31680" w:hangingChars="650" w:firstLine="31680"/>
        <w:rPr>
          <w:rFonts w:ascii="??_GB2312" w:hAnsi="??_GB2312" w:cs="??_GB2312"/>
          <w:color w:val="000000"/>
          <w:sz w:val="32"/>
          <w:szCs w:val="32"/>
        </w:rPr>
      </w:pPr>
      <w:r>
        <w:rPr>
          <w:rFonts w:ascii="??_GB2312" w:hAnsi="??_GB2312" w:cs="??_GB2312"/>
          <w:color w:val="000000"/>
          <w:sz w:val="32"/>
          <w:szCs w:val="32"/>
        </w:rPr>
        <w:t xml:space="preserve">    </w:t>
      </w:r>
      <w:r>
        <w:rPr>
          <w:rFonts w:hint="eastAsia" w:ascii="宋体" w:hAnsi="宋体" w:cs="宋体"/>
          <w:color w:val="000000"/>
          <w:sz w:val="32"/>
          <w:szCs w:val="32"/>
        </w:rPr>
        <w:t>附件</w:t>
      </w:r>
      <w:r>
        <w:rPr>
          <w:rFonts w:ascii="??_GB2312" w:hAnsi="??_GB2312" w:cs="??_GB2312"/>
          <w:color w:val="000000"/>
          <w:sz w:val="32"/>
          <w:szCs w:val="32"/>
        </w:rPr>
        <w:t>1</w:t>
      </w:r>
      <w:r>
        <w:rPr>
          <w:rFonts w:hint="eastAsia" w:ascii="宋体" w:hAnsi="宋体" w:cs="宋体"/>
          <w:color w:val="000000"/>
          <w:sz w:val="32"/>
          <w:szCs w:val="32"/>
        </w:rPr>
        <w:t>：项目具体要求及相关技术参数</w:t>
      </w:r>
    </w:p>
    <w:p>
      <w:pPr>
        <w:ind w:left="31680" w:hangingChars="650" w:firstLine="31680"/>
        <w:rPr>
          <w:rFonts w:ascii="??_GB2312" w:hAnsi="??_GB2312" w:cs="??_GB2312"/>
          <w:color w:val="000000"/>
          <w:sz w:val="32"/>
          <w:szCs w:val="32"/>
        </w:rPr>
      </w:pPr>
      <w:r>
        <w:rPr>
          <w:rFonts w:ascii="??_GB2312" w:hAnsi="??_GB2312" w:cs="??_GB2312"/>
          <w:color w:val="000000"/>
          <w:sz w:val="32"/>
          <w:szCs w:val="32"/>
        </w:rPr>
        <w:t xml:space="preserve">    </w:t>
      </w:r>
      <w:r>
        <w:rPr>
          <w:rFonts w:hint="eastAsia" w:ascii="宋体" w:hAnsi="宋体" w:cs="宋体"/>
          <w:color w:val="000000"/>
          <w:sz w:val="32"/>
          <w:szCs w:val="32"/>
        </w:rPr>
        <w:t>附件</w:t>
      </w:r>
      <w:r>
        <w:rPr>
          <w:rFonts w:ascii="??_GB2312" w:hAnsi="??_GB2312" w:cs="??_GB2312"/>
          <w:color w:val="000000"/>
          <w:sz w:val="32"/>
          <w:szCs w:val="32"/>
        </w:rPr>
        <w:t>2</w:t>
      </w:r>
      <w:r>
        <w:rPr>
          <w:rFonts w:hint="eastAsia" w:ascii="宋体" w:hAnsi="宋体" w:cs="宋体"/>
          <w:color w:val="000000"/>
          <w:sz w:val="32"/>
          <w:szCs w:val="32"/>
        </w:rPr>
        <w:t>：比选评分指标</w:t>
      </w:r>
    </w:p>
    <w:p>
      <w:pPr>
        <w:rPr>
          <w:rFonts w:ascii="??_GB2312" w:hAnsi="新宋体" w:eastAsia="Times New Roman"/>
          <w:sz w:val="32"/>
          <w:szCs w:val="32"/>
        </w:rPr>
      </w:pPr>
      <w:bookmarkStart w:id="0" w:name="_GoBack"/>
      <w:bookmarkEnd w:id="0"/>
    </w:p>
    <w:p>
      <w:pPr>
        <w:rPr>
          <w:rFonts w:ascii="??_GB2312" w:hAnsi="新宋体" w:eastAsia="Times New Roman"/>
          <w:sz w:val="32"/>
          <w:szCs w:val="32"/>
        </w:rPr>
      </w:pPr>
      <w:r>
        <w:rPr>
          <w:rFonts w:ascii="??_GB2312" w:hAnsi="新宋体" w:eastAsia="Times New Roman"/>
          <w:sz w:val="32"/>
          <w:szCs w:val="32"/>
        </w:rPr>
        <w:t xml:space="preserve">                    成都市非物质文化遗产保护中心</w:t>
      </w:r>
    </w:p>
    <w:p>
      <w:pPr/>
      <w:r>
        <w:rPr>
          <w:rFonts w:ascii="??_GB2312" w:hAnsi="新宋体" w:eastAsia="Times New Roman"/>
          <w:sz w:val="32"/>
          <w:szCs w:val="32"/>
        </w:rPr>
        <w:t xml:space="preserve">                           2016年</w:t>
      </w:r>
      <w:r>
        <w:rPr>
          <w:rFonts w:ascii="??_GB2312" w:hAnsi="新宋体"/>
          <w:sz w:val="32"/>
          <w:szCs w:val="32"/>
        </w:rPr>
        <w:t>8</w:t>
      </w:r>
      <w:r>
        <w:rPr>
          <w:rFonts w:ascii="??_GB2312" w:hAnsi="新宋体" w:eastAsia="Times New Roman"/>
          <w:sz w:val="32"/>
          <w:szCs w:val="32"/>
        </w:rPr>
        <w:t>月</w:t>
      </w:r>
      <w:r>
        <w:rPr>
          <w:rFonts w:ascii="??_GB2312" w:hAnsi="新宋体"/>
          <w:sz w:val="32"/>
          <w:szCs w:val="32"/>
        </w:rPr>
        <w:t>2</w:t>
      </w:r>
      <w:r>
        <w:rPr>
          <w:rFonts w:hint="eastAsia" w:ascii="??_GB2312" w:hAnsi="新宋体"/>
          <w:sz w:val="32"/>
          <w:szCs w:val="32"/>
          <w:lang w:val="en-US" w:eastAsia="zh-CN"/>
        </w:rPr>
        <w:t>3</w:t>
      </w:r>
      <w:r>
        <w:rPr>
          <w:rFonts w:ascii="??_GB2312" w:hAnsi="新宋体" w:eastAsia="Times New Roman"/>
          <w:sz w:val="32"/>
          <w:szCs w:val="32"/>
        </w:rPr>
        <w:t>日</w:t>
      </w: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p>
    <w:p>
      <w:pPr>
        <w:rPr>
          <w:rFonts w:ascii="??_GB2312" w:eastAsia="Times New Roman"/>
          <w:b/>
          <w:color w:val="000000"/>
          <w:sz w:val="32"/>
          <w:szCs w:val="32"/>
        </w:rPr>
      </w:pPr>
      <w:r>
        <w:rPr>
          <w:rFonts w:ascii="??_GB2312" w:eastAsia="Times New Roman"/>
          <w:b/>
          <w:color w:val="000000"/>
          <w:sz w:val="32"/>
          <w:szCs w:val="32"/>
        </w:rPr>
        <w:t>附件1</w:t>
      </w:r>
    </w:p>
    <w:p>
      <w:pPr>
        <w:pStyle w:val="3"/>
        <w:jc w:val="center"/>
        <w:rPr>
          <w:rFonts w:ascii="方正小标宋_GBK" w:hAnsi="方正小标宋_GBK" w:eastAsia="方正小标宋_GBK"/>
          <w:b w:val="0"/>
          <w:sz w:val="44"/>
          <w:szCs w:val="44"/>
        </w:rPr>
      </w:pPr>
      <w:r>
        <w:rPr>
          <w:rFonts w:hint="eastAsia" w:ascii="方正小标宋_GBK" w:hAnsi="方正小标宋_GBK" w:eastAsia="方正小标宋_GBK"/>
          <w:b w:val="0"/>
          <w:sz w:val="44"/>
          <w:szCs w:val="44"/>
        </w:rPr>
        <w:t>项目具体要求及相关技术参数</w:t>
      </w:r>
    </w:p>
    <w:p>
      <w:pPr>
        <w:spacing w:line="560" w:lineRule="exact"/>
        <w:rPr>
          <w:rFonts w:eastAsia="Times New Roman"/>
          <w:b/>
          <w:bCs/>
          <w:sz w:val="32"/>
          <w:szCs w:val="32"/>
        </w:rPr>
      </w:pPr>
      <w:r>
        <w:rPr>
          <w:rFonts w:eastAsia="Times New Roman"/>
          <w:b/>
          <w:bCs/>
          <w:sz w:val="32"/>
          <w:szCs w:val="32"/>
        </w:rPr>
        <w:t xml:space="preserve">    </w:t>
      </w:r>
    </w:p>
    <w:p>
      <w:pPr>
        <w:ind w:firstLine="31680" w:firstLineChars="200"/>
        <w:rPr>
          <w:rFonts w:ascii="黑体" w:hAnsi="方正小标宋_GBK" w:eastAsia="黑体"/>
          <w:sz w:val="32"/>
          <w:szCs w:val="32"/>
        </w:rPr>
      </w:pPr>
      <w:r>
        <w:rPr>
          <w:rFonts w:hint="eastAsia" w:ascii="黑体" w:hAnsi="方正小标宋_GBK" w:eastAsia="黑体"/>
          <w:sz w:val="32"/>
          <w:szCs w:val="32"/>
        </w:rPr>
        <w:t>一、工作内容及项目成果</w:t>
      </w:r>
    </w:p>
    <w:p>
      <w:pPr>
        <w:spacing w:line="560" w:lineRule="exact"/>
        <w:rPr>
          <w:rFonts w:eastAsia="Times New Roman"/>
          <w:sz w:val="32"/>
          <w:szCs w:val="32"/>
        </w:rPr>
      </w:pPr>
      <w:r>
        <w:rPr>
          <w:rFonts w:eastAsia="Times New Roman"/>
          <w:sz w:val="32"/>
          <w:szCs w:val="32"/>
        </w:rPr>
        <w:t xml:space="preserve">   </w:t>
      </w:r>
      <w:r>
        <w:rPr>
          <w:rFonts w:ascii="??_GB2312" w:hAnsi="方正小标宋_GBK" w:eastAsia="Times New Roman"/>
          <w:sz w:val="32"/>
          <w:szCs w:val="32"/>
        </w:rPr>
        <w:t xml:space="preserve"> （一）工作内容</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按照《中华人民共和国非物质文化遗产法》和其他相关文件的要求，对蜀锦织造技艺、新繁棕编、瓷胎竹编、汤长发麻饼制作技艺、夹关高跷、四川车灯、高台狮子、柏合草编、四川相书共计9个非遗代表性项目及其代表性传承人进行调查，主要是相关图片和视频资料的采集、整理、编辑。采集内容包括：素材片、成片、照片。</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（二）工作成果</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1、素材视频</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每个项目240分钟以上，清晰度不低于720P，音质良好；</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2、成片视频</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每个项目30分钟以上，以达到广电播放质量为标准进行剪辑，全片结构合理、记录真实，内容包含项目核心技艺流程，并配有适当的普通话解说、字幕和背景音乐。</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3、照片</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每个项目</w:t>
      </w:r>
      <w:r>
        <w:rPr>
          <w:rFonts w:ascii="??_GB2312" w:hAnsi="方正小标宋_GBK"/>
          <w:sz w:val="32"/>
          <w:szCs w:val="32"/>
        </w:rPr>
        <w:t>10</w:t>
      </w:r>
      <w:r>
        <w:rPr>
          <w:rFonts w:ascii="??_GB2312" w:hAnsi="方正小标宋_GBK" w:eastAsia="Times New Roman"/>
          <w:sz w:val="32"/>
          <w:szCs w:val="32"/>
        </w:rPr>
        <w:t>0张以上，内容包括项目技艺展示、传承人的肖像照、生活照、工作照、作品照、历史照片翻录等；</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4、一个存有以上材料的移动硬盘。</w:t>
      </w:r>
    </w:p>
    <w:p>
      <w:pPr>
        <w:ind w:firstLine="31680" w:firstLineChars="200"/>
        <w:rPr>
          <w:rFonts w:eastAsia="Times New Roman"/>
          <w:sz w:val="32"/>
          <w:szCs w:val="32"/>
        </w:rPr>
      </w:pPr>
      <w:r>
        <w:rPr>
          <w:rFonts w:ascii="??_GB2312" w:hAnsi="方正小标宋_GBK" w:eastAsia="Times New Roman"/>
          <w:sz w:val="32"/>
          <w:szCs w:val="32"/>
        </w:rPr>
        <w:t>以上所有材料的版权归市非遗保护中心所有。</w:t>
      </w:r>
    </w:p>
    <w:p>
      <w:pPr>
        <w:ind w:firstLine="31680" w:firstLineChars="200"/>
        <w:rPr>
          <w:rFonts w:ascii="黑体" w:hAnsi="方正小标宋_GBK" w:eastAsia="黑体"/>
          <w:sz w:val="32"/>
          <w:szCs w:val="32"/>
        </w:rPr>
      </w:pPr>
      <w:r>
        <w:rPr>
          <w:rFonts w:ascii="黑体" w:hAnsi="方正小标宋_GBK" w:eastAsia="黑体"/>
          <w:sz w:val="32"/>
          <w:szCs w:val="32"/>
        </w:rPr>
        <w:t xml:space="preserve"> </w:t>
      </w:r>
      <w:r>
        <w:rPr>
          <w:rFonts w:hint="eastAsia" w:ascii="黑体" w:hAnsi="方正小标宋_GBK" w:eastAsia="黑体"/>
          <w:sz w:val="32"/>
          <w:szCs w:val="32"/>
        </w:rPr>
        <w:t>二、项目建设要求</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（一）成立工作组</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成立三人以上的工作组，成员包括项目负责人、摄像、后期等。</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（二）设备要求</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1.视频技术要求</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（1）本项目视频源质量应达到广电高清播出级质量，具体执行标准如下：</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摄影机应采用1980×1080的分辨率拍摄（或所用机型的最高分辨率），码率应为50Mb每秒（或所用机型的最高码率），。画幅比例应为16:9，如无此画幅比例，应设为4:3。</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（2）素材片需备注拍摄时间、地点、协助单位及人物等相关信息，以文件夹分类。采集的视频资料按受访者口述、项目实践、传承教学、空镜进行分类整理。</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（3）成片每集时间长度</w:t>
      </w:r>
      <w:r>
        <w:rPr>
          <w:rFonts w:hint="eastAsia" w:ascii="??_GB2312" w:hAnsi="方正小标宋_GBK"/>
          <w:sz w:val="32"/>
          <w:szCs w:val="32"/>
        </w:rPr>
        <w:t>不低于</w:t>
      </w:r>
      <w:r>
        <w:rPr>
          <w:rFonts w:ascii="??_GB2312" w:hAnsi="方正小标宋_GBK" w:eastAsia="Times New Roman"/>
          <w:sz w:val="32"/>
          <w:szCs w:val="32"/>
        </w:rPr>
        <w:t>30分钟，每集须有统一的片头、片尾，成片的解说须为标准普通话播音，字幕需符合电视播出规范。</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2.照片技术要求</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1.拍摄照片要求为清晰的数码图片，像素在2000万像素以上</w:t>
      </w:r>
      <w:r>
        <w:rPr>
          <w:rFonts w:hint="eastAsia" w:ascii="??_GB2312" w:hAnsi="方正小标宋_GBK"/>
          <w:sz w:val="32"/>
          <w:szCs w:val="32"/>
        </w:rPr>
        <w:t>，大小在</w:t>
      </w:r>
      <w:r>
        <w:rPr>
          <w:rFonts w:ascii="??_GB2312" w:hAnsi="方正小标宋_GBK"/>
          <w:sz w:val="32"/>
          <w:szCs w:val="32"/>
        </w:rPr>
        <w:t>1M</w:t>
      </w:r>
      <w:r>
        <w:rPr>
          <w:rFonts w:hint="eastAsia" w:ascii="??_GB2312" w:hAnsi="方正小标宋_GBK"/>
          <w:sz w:val="32"/>
          <w:szCs w:val="32"/>
        </w:rPr>
        <w:t>以上</w:t>
      </w:r>
      <w:r>
        <w:rPr>
          <w:rFonts w:ascii="??_GB2312" w:hAnsi="方正小标宋_GBK" w:eastAsia="Times New Roman"/>
          <w:sz w:val="32"/>
          <w:szCs w:val="32"/>
        </w:rPr>
        <w:t>；格式一般要求为JPEG，关键环节要求RAW格式；照片应保持原真性，不做任何修改。</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 照片按照肖像照、项目实践、传承教学、代表作品、环境照片等主要内容分类保存并对相关信息进行备注。</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（四）采集内容要求</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1、素材片</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（1）传承人口述</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包括对传承人口述进行科学记录，重点关注传承人的人生经历、个人风格特色、技巧经验，及其背后的民俗背景、文化生态、文化记忆等。</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（2）项目实践</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项目实践以项目技艺全过程实录为重点，并对关键步骤和关键环节详实记录，是采集工作的重点部分。采集项目实践活动，还需注意时间、地点、场地、环境、过程、受众等要素。</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（3）传承人传承教学</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记录传承人以口传、项目实践演示、现场指导的方式，教授徒弟、学生的完整过程。可以某一个故事、一出戏、一套舞蹈、一个作品的制作流程等为例，展示项目传授、学习及其实践的全过程。</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2、制作成片</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成片是对所拍摄内容</w:t>
      </w:r>
      <w:r>
        <w:rPr>
          <w:rFonts w:hint="eastAsia" w:ascii="??_GB2312" w:hAnsi="方正小标宋_GBK"/>
          <w:sz w:val="32"/>
          <w:szCs w:val="32"/>
        </w:rPr>
        <w:t>进行</w:t>
      </w:r>
      <w:r>
        <w:rPr>
          <w:rFonts w:ascii="??_GB2312" w:hAnsi="方正小标宋_GBK" w:eastAsia="Times New Roman"/>
          <w:sz w:val="32"/>
          <w:szCs w:val="32"/>
        </w:rPr>
        <w:t>归纳、精选、艺术化处理的</w:t>
      </w:r>
      <w:r>
        <w:rPr>
          <w:rFonts w:hint="eastAsia" w:ascii="??_GB2312" w:hAnsi="方正小标宋_GBK"/>
          <w:sz w:val="32"/>
          <w:szCs w:val="32"/>
        </w:rPr>
        <w:t>成果</w:t>
      </w:r>
      <w:r>
        <w:rPr>
          <w:rFonts w:ascii="??_GB2312" w:hAnsi="方正小标宋_GBK" w:eastAsia="Times New Roman"/>
          <w:sz w:val="32"/>
          <w:szCs w:val="32"/>
        </w:rPr>
        <w:t>，综合性展现项目的技艺特点和过程。它是在上述素材片的基础上，运用调光、调色、配音、配乐、特效、加解说等艺术性处理，需全面展示项目的特色、步骤、核心技艺和绝活等，时长30分钟为宜。画面剪辑完成后进行基本包装，包括开头结尾的标题字幕和制作方信息字幕、唱词字幕、视频中的人名字幕、标识或水印等。</w:t>
      </w:r>
    </w:p>
    <w:p>
      <w:pPr>
        <w:numPr>
          <w:ilvl w:val="0"/>
          <w:numId w:val="1"/>
        </w:numPr>
        <w:ind w:firstLine="31680" w:firstLineChars="200"/>
        <w:rPr>
          <w:rFonts w:ascii="??_GB2312" w:hAnsi="方正小标宋_GBK" w:eastAsia="Times New Roman"/>
          <w:sz w:val="32"/>
          <w:szCs w:val="32"/>
        </w:rPr>
      </w:pPr>
      <w:r>
        <w:rPr>
          <w:rFonts w:ascii="??_GB2312" w:hAnsi="方正小标宋_GBK" w:eastAsia="Times New Roman"/>
          <w:sz w:val="32"/>
          <w:szCs w:val="32"/>
        </w:rPr>
        <w:t>项目时间节点</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（1）2016年</w:t>
      </w:r>
      <w:r>
        <w:rPr>
          <w:rFonts w:ascii="??_GB2312" w:hAnsi="方正小标宋_GBK"/>
          <w:sz w:val="32"/>
          <w:szCs w:val="32"/>
        </w:rPr>
        <w:t>9</w:t>
      </w:r>
      <w:r>
        <w:rPr>
          <w:rFonts w:ascii="??_GB2312" w:hAnsi="方正小标宋_GBK" w:eastAsia="Times New Roman"/>
          <w:sz w:val="32"/>
          <w:szCs w:val="32"/>
        </w:rPr>
        <w:t>月</w:t>
      </w:r>
      <w:r>
        <w:rPr>
          <w:rFonts w:hint="eastAsia" w:ascii="??_GB2312" w:hAnsi="方正小标宋_GBK" w:eastAsia="宋体"/>
          <w:sz w:val="32"/>
          <w:szCs w:val="32"/>
          <w:lang w:val="en-US" w:eastAsia="zh-CN"/>
        </w:rPr>
        <w:t>20</w:t>
      </w:r>
      <w:r>
        <w:rPr>
          <w:rFonts w:ascii="??_GB2312" w:hAnsi="方正小标宋_GBK" w:eastAsia="Times New Roman"/>
          <w:sz w:val="32"/>
          <w:szCs w:val="32"/>
        </w:rPr>
        <w:t>日前与中标单位签订协议；</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（2）2016年</w:t>
      </w:r>
      <w:r>
        <w:rPr>
          <w:rFonts w:hint="eastAsia" w:ascii="??_GB2312" w:hAnsi="方正小标宋_GBK" w:eastAsia="宋体"/>
          <w:sz w:val="32"/>
          <w:szCs w:val="32"/>
          <w:lang w:val="en-US" w:eastAsia="zh-CN"/>
        </w:rPr>
        <w:t>9</w:t>
      </w:r>
      <w:r>
        <w:rPr>
          <w:rFonts w:ascii="??_GB2312" w:hAnsi="方正小标宋_GBK" w:eastAsia="Times New Roman"/>
          <w:sz w:val="32"/>
          <w:szCs w:val="32"/>
        </w:rPr>
        <w:t>月</w:t>
      </w:r>
      <w:r>
        <w:rPr>
          <w:rFonts w:hint="eastAsia" w:ascii="??_GB2312" w:hAnsi="方正小标宋_GBK" w:eastAsia="宋体"/>
          <w:sz w:val="32"/>
          <w:szCs w:val="32"/>
          <w:lang w:val="en-US" w:eastAsia="zh-CN"/>
        </w:rPr>
        <w:t>30日前</w:t>
      </w:r>
      <w:r>
        <w:rPr>
          <w:rFonts w:ascii="??_GB2312" w:hAnsi="方正小标宋_GBK" w:eastAsia="Times New Roman"/>
          <w:sz w:val="32"/>
          <w:szCs w:val="32"/>
        </w:rPr>
        <w:t>完成资料收集拍摄计划并定稿；</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（3）2016年</w:t>
      </w:r>
      <w:r>
        <w:rPr>
          <w:rFonts w:hint="eastAsia" w:ascii="??_GB2312" w:hAnsi="方正小标宋_GBK" w:eastAsia="宋体"/>
          <w:sz w:val="32"/>
          <w:szCs w:val="32"/>
          <w:lang w:val="en-US" w:eastAsia="zh-CN"/>
        </w:rPr>
        <w:t>10</w:t>
      </w:r>
      <w:r>
        <w:rPr>
          <w:rFonts w:ascii="??_GB2312" w:hAnsi="方正小标宋_GBK" w:eastAsia="Times New Roman"/>
          <w:sz w:val="32"/>
          <w:szCs w:val="32"/>
        </w:rPr>
        <w:t>月</w:t>
      </w:r>
      <w:r>
        <w:rPr>
          <w:rFonts w:hint="eastAsia" w:ascii="??_GB2312" w:hAnsi="方正小标宋_GBK" w:eastAsia="宋体"/>
          <w:sz w:val="32"/>
          <w:szCs w:val="32"/>
          <w:lang w:val="en-US" w:eastAsia="zh-CN"/>
        </w:rPr>
        <w:t>1</w:t>
      </w:r>
      <w:r>
        <w:rPr>
          <w:rFonts w:ascii="??_GB2312" w:hAnsi="方正小标宋_GBK" w:eastAsia="Times New Roman"/>
          <w:sz w:val="32"/>
          <w:szCs w:val="32"/>
        </w:rPr>
        <w:t>日至201</w:t>
      </w:r>
      <w:r>
        <w:rPr>
          <w:rFonts w:hint="eastAsia" w:ascii="??_GB2312" w:hAnsi="方正小标宋_GBK" w:eastAsia="宋体"/>
          <w:sz w:val="32"/>
          <w:szCs w:val="32"/>
          <w:lang w:val="en-US" w:eastAsia="zh-CN"/>
        </w:rPr>
        <w:t>6</w:t>
      </w:r>
      <w:r>
        <w:rPr>
          <w:rFonts w:ascii="??_GB2312" w:hAnsi="方正小标宋_GBK" w:eastAsia="Times New Roman"/>
          <w:sz w:val="32"/>
          <w:szCs w:val="32"/>
        </w:rPr>
        <w:t>年</w:t>
      </w:r>
      <w:r>
        <w:rPr>
          <w:rFonts w:hint="eastAsia" w:ascii="??_GB2312" w:hAnsi="方正小标宋_GBK" w:eastAsia="宋体"/>
          <w:sz w:val="32"/>
          <w:szCs w:val="32"/>
          <w:lang w:val="en-US" w:eastAsia="zh-CN"/>
        </w:rPr>
        <w:t>12</w:t>
      </w:r>
      <w:r>
        <w:rPr>
          <w:rFonts w:ascii="??_GB2312" w:hAnsi="方正小标宋_GBK" w:eastAsia="Times New Roman"/>
          <w:sz w:val="32"/>
          <w:szCs w:val="32"/>
        </w:rPr>
        <w:t>月1</w:t>
      </w:r>
      <w:r>
        <w:rPr>
          <w:rFonts w:hint="eastAsia" w:ascii="??_GB2312" w:hAnsi="方正小标宋_GBK" w:eastAsia="宋体"/>
          <w:sz w:val="32"/>
          <w:szCs w:val="32"/>
          <w:lang w:val="en-US" w:eastAsia="zh-CN"/>
        </w:rPr>
        <w:t>0</w:t>
      </w:r>
      <w:r>
        <w:rPr>
          <w:rFonts w:ascii="??_GB2312" w:hAnsi="方正小标宋_GBK" w:eastAsia="Times New Roman"/>
          <w:sz w:val="32"/>
          <w:szCs w:val="32"/>
        </w:rPr>
        <w:t>日进行资料收集拍摄和剪辑制作；</w:t>
      </w:r>
    </w:p>
    <w:p>
      <w:pPr>
        <w:ind w:firstLine="31680" w:firstLineChars="200"/>
        <w:rPr>
          <w:rFonts w:ascii="??_GB2312" w:hAnsi="方正小标宋_GBK" w:eastAsia="Times New Roman"/>
          <w:sz w:val="32"/>
          <w:szCs w:val="32"/>
        </w:rPr>
      </w:pPr>
      <w:r>
        <w:rPr>
          <w:rFonts w:ascii="??_GB2312" w:hAnsi="方正小标宋_GBK" w:eastAsia="Times New Roman"/>
          <w:sz w:val="32"/>
          <w:szCs w:val="32"/>
        </w:rPr>
        <w:t>（4）201</w:t>
      </w:r>
      <w:r>
        <w:rPr>
          <w:rFonts w:hint="eastAsia" w:ascii="??_GB2312" w:hAnsi="方正小标宋_GBK" w:eastAsia="宋体"/>
          <w:sz w:val="32"/>
          <w:szCs w:val="32"/>
          <w:lang w:val="en-US" w:eastAsia="zh-CN"/>
        </w:rPr>
        <w:t>6</w:t>
      </w:r>
      <w:r>
        <w:rPr>
          <w:rFonts w:ascii="??_GB2312" w:hAnsi="方正小标宋_GBK" w:eastAsia="Times New Roman"/>
          <w:sz w:val="32"/>
          <w:szCs w:val="32"/>
        </w:rPr>
        <w:t>年</w:t>
      </w:r>
      <w:r>
        <w:rPr>
          <w:rFonts w:hint="eastAsia" w:ascii="??_GB2312" w:hAnsi="方正小标宋_GBK" w:eastAsia="宋体"/>
          <w:sz w:val="32"/>
          <w:szCs w:val="32"/>
          <w:lang w:val="en-US" w:eastAsia="zh-CN"/>
        </w:rPr>
        <w:t>12</w:t>
      </w:r>
      <w:r>
        <w:rPr>
          <w:rFonts w:ascii="??_GB2312" w:hAnsi="方正小标宋_GBK" w:eastAsia="Times New Roman"/>
          <w:sz w:val="32"/>
          <w:szCs w:val="32"/>
        </w:rPr>
        <w:t>月1</w:t>
      </w:r>
      <w:r>
        <w:rPr>
          <w:rFonts w:hint="eastAsia" w:ascii="??_GB2312" w:hAnsi="方正小标宋_GBK" w:eastAsia="宋体"/>
          <w:sz w:val="32"/>
          <w:szCs w:val="32"/>
          <w:lang w:val="en-US" w:eastAsia="zh-CN"/>
        </w:rPr>
        <w:t>0</w:t>
      </w:r>
      <w:r>
        <w:rPr>
          <w:rFonts w:ascii="??_GB2312" w:hAnsi="方正小标宋_GBK" w:eastAsia="Times New Roman"/>
          <w:sz w:val="32"/>
          <w:szCs w:val="32"/>
        </w:rPr>
        <w:t>日前完成项目验收。</w:t>
      </w:r>
    </w:p>
    <w:p>
      <w:pPr>
        <w:rPr>
          <w:rFonts w:ascii="??_GB2312" w:hAnsi="方正小标宋_GBK" w:eastAsia="Times New Roman"/>
          <w:sz w:val="32"/>
          <w:szCs w:val="32"/>
        </w:rPr>
      </w:pPr>
    </w:p>
    <w:p>
      <w:pPr/>
    </w:p>
    <w:p>
      <w:pPr/>
    </w:p>
    <w:p>
      <w:pPr/>
    </w:p>
    <w:p>
      <w:pPr/>
    </w:p>
    <w:p>
      <w:pPr/>
    </w:p>
    <w:p>
      <w:pPr/>
    </w:p>
    <w:p>
      <w:pPr/>
    </w:p>
    <w:p>
      <w:pPr/>
    </w:p>
    <w:p>
      <w:pPr/>
    </w:p>
    <w:p>
      <w:pPr/>
    </w:p>
    <w:p>
      <w:pPr/>
    </w:p>
    <w:p>
      <w:pPr/>
    </w:p>
    <w:p>
      <w:pPr/>
    </w:p>
    <w:p>
      <w:pPr>
        <w:rPr>
          <w:rFonts w:ascii="??_GB2312" w:eastAsia="Times New Roman"/>
          <w:b/>
          <w:color w:val="000000"/>
          <w:sz w:val="32"/>
          <w:szCs w:val="32"/>
        </w:rPr>
      </w:pPr>
      <w:r>
        <w:rPr>
          <w:rFonts w:ascii="??_GB2312" w:eastAsia="Times New Roman"/>
          <w:b/>
          <w:color w:val="000000"/>
          <w:sz w:val="32"/>
          <w:szCs w:val="32"/>
        </w:rPr>
        <w:t>附件2</w:t>
      </w:r>
    </w:p>
    <w:p>
      <w:pPr>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比选评分指标</w:t>
      </w:r>
    </w:p>
    <w:tbl>
      <w:tblPr>
        <w:tblStyle w:val="7"/>
        <w:tblW w:w="8954" w:type="dxa"/>
        <w:tblInd w:w="0" w:type="dxa"/>
        <w:tblLayout w:type="fixed"/>
        <w:tblCellMar>
          <w:top w:w="15" w:type="dxa"/>
          <w:left w:w="15" w:type="dxa"/>
          <w:bottom w:w="15" w:type="dxa"/>
          <w:right w:w="15" w:type="dxa"/>
        </w:tblCellMar>
      </w:tblPr>
      <w:tblGrid>
        <w:gridCol w:w="700"/>
        <w:gridCol w:w="932"/>
        <w:gridCol w:w="1564"/>
        <w:gridCol w:w="873"/>
        <w:gridCol w:w="3681"/>
        <w:gridCol w:w="1204"/>
      </w:tblGrid>
      <w:tr>
        <w:tblPrEx>
          <w:tblLayout w:type="fixed"/>
          <w:tblCellMar>
            <w:top w:w="15" w:type="dxa"/>
            <w:left w:w="15" w:type="dxa"/>
            <w:bottom w:w="15" w:type="dxa"/>
            <w:right w:w="15" w:type="dxa"/>
          </w:tblCellMar>
        </w:tblPrEx>
        <w:trPr>
          <w:trHeight w:val="797" w:hRule="atLeast"/>
        </w:trPr>
        <w:tc>
          <w:tcPr>
            <w:tcW w:w="8954" w:type="dxa"/>
            <w:gridSpan w:val="6"/>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宋体" w:cs="宋体"/>
                <w:b/>
                <w:bCs/>
                <w:color w:val="000000"/>
                <w:sz w:val="28"/>
                <w:szCs w:val="28"/>
              </w:rPr>
            </w:pPr>
            <w:r>
              <w:rPr>
                <w:rFonts w:hint="eastAsia" w:ascii="宋体" w:hAnsi="宋体" w:cs="宋体"/>
                <w:b/>
                <w:bCs/>
                <w:color w:val="000000"/>
                <w:sz w:val="28"/>
                <w:szCs w:val="28"/>
              </w:rPr>
              <w:t>综合评分法</w:t>
            </w:r>
          </w:p>
        </w:tc>
      </w:tr>
      <w:tr>
        <w:tblPrEx>
          <w:tblLayout w:type="fixed"/>
          <w:tblCellMar>
            <w:top w:w="15" w:type="dxa"/>
            <w:left w:w="15" w:type="dxa"/>
            <w:bottom w:w="15" w:type="dxa"/>
            <w:right w:w="15" w:type="dxa"/>
          </w:tblCellMar>
        </w:tblPrEx>
        <w:trPr>
          <w:trHeight w:val="797" w:hRule="atLeast"/>
        </w:trPr>
        <w:tc>
          <w:tcPr>
            <w:tcW w:w="7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序号</w:t>
            </w:r>
          </w:p>
        </w:tc>
        <w:tc>
          <w:tcPr>
            <w:tcW w:w="2496" w:type="dxa"/>
            <w:gridSpan w:val="2"/>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宋体" w:cs="宋体"/>
                <w:b/>
                <w:bCs/>
                <w:color w:val="000000"/>
                <w:sz w:val="28"/>
                <w:szCs w:val="28"/>
              </w:rPr>
            </w:pPr>
            <w:r>
              <w:rPr>
                <w:rFonts w:hint="eastAsia" w:ascii="宋体" w:hAnsi="宋体" w:cs="宋体"/>
                <w:b/>
                <w:bCs/>
                <w:color w:val="000000"/>
                <w:sz w:val="28"/>
                <w:szCs w:val="28"/>
              </w:rPr>
              <w:t>评分因素及权重</w:t>
            </w:r>
          </w:p>
        </w:tc>
        <w:tc>
          <w:tcPr>
            <w:tcW w:w="873"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宋体" w:cs="宋体"/>
                <w:b/>
                <w:bCs/>
                <w:color w:val="000000"/>
                <w:sz w:val="28"/>
                <w:szCs w:val="28"/>
              </w:rPr>
            </w:pPr>
            <w:r>
              <w:rPr>
                <w:rFonts w:hint="eastAsia" w:ascii="宋体" w:hAnsi="宋体" w:cs="宋体"/>
                <w:b/>
                <w:bCs/>
                <w:color w:val="000000"/>
                <w:sz w:val="28"/>
                <w:szCs w:val="28"/>
              </w:rPr>
              <w:t>分值</w:t>
            </w:r>
          </w:p>
        </w:tc>
        <w:tc>
          <w:tcPr>
            <w:tcW w:w="368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宋体" w:cs="宋体"/>
                <w:b/>
                <w:bCs/>
                <w:color w:val="000000"/>
                <w:sz w:val="28"/>
                <w:szCs w:val="28"/>
              </w:rPr>
            </w:pPr>
            <w:r>
              <w:rPr>
                <w:rFonts w:hint="eastAsia" w:ascii="宋体" w:hAnsi="宋体" w:cs="宋体"/>
                <w:b/>
                <w:bCs/>
                <w:color w:val="000000"/>
                <w:sz w:val="28"/>
                <w:szCs w:val="28"/>
              </w:rPr>
              <w:t>评分标准</w:t>
            </w:r>
          </w:p>
        </w:tc>
        <w:tc>
          <w:tcPr>
            <w:tcW w:w="1204"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宋体" w:cs="宋体"/>
                <w:b/>
                <w:bCs/>
                <w:color w:val="000000"/>
                <w:sz w:val="28"/>
                <w:szCs w:val="28"/>
              </w:rPr>
            </w:pPr>
            <w:r>
              <w:rPr>
                <w:rFonts w:hint="eastAsia" w:ascii="宋体" w:hAnsi="宋体" w:cs="宋体"/>
                <w:b/>
                <w:bCs/>
                <w:color w:val="000000"/>
                <w:sz w:val="28"/>
                <w:szCs w:val="28"/>
              </w:rPr>
              <w:t>说明</w:t>
            </w:r>
          </w:p>
        </w:tc>
      </w:tr>
      <w:tr>
        <w:tblPrEx>
          <w:tblLayout w:type="fixed"/>
          <w:tblCellMar>
            <w:top w:w="15" w:type="dxa"/>
            <w:left w:w="15" w:type="dxa"/>
            <w:bottom w:w="15" w:type="dxa"/>
            <w:right w:w="15" w:type="dxa"/>
          </w:tblCellMar>
        </w:tblPrEx>
        <w:trPr>
          <w:trHeight w:val="1446" w:hRule="atLeast"/>
        </w:trPr>
        <w:tc>
          <w:tcPr>
            <w:tcW w:w="700"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1</w:t>
            </w:r>
          </w:p>
        </w:tc>
        <w:tc>
          <w:tcPr>
            <w:tcW w:w="2496" w:type="dxa"/>
            <w:gridSpan w:val="2"/>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报价</w:t>
            </w:r>
          </w:p>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20%</w:t>
            </w:r>
            <w:r>
              <w:rPr>
                <w:rFonts w:hint="eastAsia" w:ascii="宋体" w:hAnsi="宋体" w:cs="宋体"/>
                <w:color w:val="000000"/>
                <w:sz w:val="28"/>
                <w:szCs w:val="28"/>
              </w:rPr>
              <w:t>）</w:t>
            </w:r>
            <w:r>
              <w:rPr>
                <w:rFonts w:ascii="宋体" w:hAnsi="宋体" w:cs="宋体"/>
                <w:color w:val="000000"/>
                <w:sz w:val="28"/>
                <w:szCs w:val="28"/>
              </w:rPr>
              <w:t xml:space="preserve"> </w:t>
            </w:r>
          </w:p>
        </w:tc>
        <w:tc>
          <w:tcPr>
            <w:tcW w:w="87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20</w:t>
            </w:r>
            <w:r>
              <w:rPr>
                <w:rFonts w:hint="eastAsia" w:ascii="宋体" w:hAnsi="宋体" w:cs="宋体"/>
                <w:color w:val="000000"/>
                <w:sz w:val="28"/>
                <w:szCs w:val="28"/>
              </w:rPr>
              <w:t>分</w:t>
            </w:r>
          </w:p>
        </w:tc>
        <w:tc>
          <w:tcPr>
            <w:tcW w:w="3681"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r>
              <w:rPr>
                <w:rFonts w:hint="eastAsia" w:ascii="宋体" w:hAnsi="宋体" w:cs="宋体"/>
                <w:color w:val="000000"/>
                <w:sz w:val="28"/>
                <w:szCs w:val="28"/>
              </w:rPr>
              <w:t>以招标工作项预算金额为基准价，报价得分</w:t>
            </w:r>
            <w:r>
              <w:rPr>
                <w:rFonts w:ascii="宋体" w:hAnsi="宋体" w:cs="宋体"/>
                <w:color w:val="000000"/>
                <w:sz w:val="28"/>
                <w:szCs w:val="28"/>
              </w:rPr>
              <w:t>=(</w:t>
            </w:r>
            <w:r>
              <w:rPr>
                <w:rFonts w:hint="eastAsia" w:ascii="宋体" w:hAnsi="宋体" w:cs="宋体"/>
                <w:color w:val="000000"/>
                <w:sz w:val="28"/>
                <w:szCs w:val="28"/>
              </w:rPr>
              <w:t>基准价／报价</w:t>
            </w:r>
            <w:r>
              <w:rPr>
                <w:rFonts w:ascii="宋体" w:hAnsi="宋体" w:cs="宋体"/>
                <w:color w:val="000000"/>
                <w:sz w:val="28"/>
                <w:szCs w:val="28"/>
              </w:rPr>
              <w:t>)</w:t>
            </w:r>
            <w:r>
              <w:rPr>
                <w:rFonts w:hint="eastAsia" w:ascii="宋体" w:hAnsi="宋体" w:cs="宋体"/>
                <w:color w:val="000000"/>
                <w:sz w:val="28"/>
                <w:szCs w:val="28"/>
              </w:rPr>
              <w:t>×</w:t>
            </w:r>
            <w:r>
              <w:rPr>
                <w:rFonts w:ascii="宋体" w:hAnsi="宋体" w:cs="宋体"/>
                <w:color w:val="000000"/>
                <w:sz w:val="28"/>
                <w:szCs w:val="28"/>
              </w:rPr>
              <w:t>20</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p>
        </w:tc>
      </w:tr>
      <w:tr>
        <w:tblPrEx>
          <w:tblLayout w:type="fixed"/>
          <w:tblCellMar>
            <w:top w:w="15" w:type="dxa"/>
            <w:left w:w="15" w:type="dxa"/>
            <w:bottom w:w="15" w:type="dxa"/>
            <w:right w:w="15" w:type="dxa"/>
          </w:tblCellMar>
        </w:tblPrEx>
        <w:trPr>
          <w:trHeight w:val="2858" w:hRule="atLeast"/>
        </w:trPr>
        <w:tc>
          <w:tcPr>
            <w:tcW w:w="700" w:type="dxa"/>
            <w:vMerge w:val="restart"/>
            <w:tcBorders>
              <w:top w:val="single" w:color="000000" w:sz="4" w:space="0"/>
              <w:left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2</w:t>
            </w:r>
          </w:p>
        </w:tc>
        <w:tc>
          <w:tcPr>
            <w:tcW w:w="932" w:type="dxa"/>
            <w:vMerge w:val="restart"/>
            <w:tcBorders>
              <w:top w:val="single" w:color="000000" w:sz="4" w:space="0"/>
              <w:left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服务指标</w:t>
            </w:r>
          </w:p>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60%</w:t>
            </w:r>
            <w:r>
              <w:rPr>
                <w:rFonts w:hint="eastAsia" w:ascii="宋体" w:hAnsi="宋体" w:cs="宋体"/>
                <w:color w:val="000000"/>
                <w:sz w:val="28"/>
                <w:szCs w:val="28"/>
              </w:rPr>
              <w:t>）</w:t>
            </w: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工作方案</w:t>
            </w:r>
          </w:p>
        </w:tc>
        <w:tc>
          <w:tcPr>
            <w:tcW w:w="87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45</w:t>
            </w:r>
            <w:r>
              <w:rPr>
                <w:rFonts w:hint="eastAsia" w:ascii="宋体" w:hAnsi="宋体" w:cs="宋体"/>
                <w:color w:val="000000"/>
                <w:sz w:val="28"/>
                <w:szCs w:val="28"/>
              </w:rPr>
              <w:t>分</w:t>
            </w:r>
          </w:p>
        </w:tc>
        <w:tc>
          <w:tcPr>
            <w:tcW w:w="3681"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r>
              <w:rPr>
                <w:rFonts w:hint="eastAsia" w:ascii="宋体" w:hAnsi="宋体" w:cs="宋体"/>
                <w:color w:val="000000"/>
                <w:sz w:val="28"/>
                <w:szCs w:val="28"/>
              </w:rPr>
              <w:t>方案具体，操作性强</w:t>
            </w:r>
            <w:r>
              <w:rPr>
                <w:rFonts w:ascii="宋体" w:hAnsi="宋体" w:cs="宋体"/>
                <w:color w:val="000000"/>
                <w:sz w:val="28"/>
                <w:szCs w:val="28"/>
              </w:rPr>
              <w:t xml:space="preserve">        35</w:t>
            </w:r>
            <w:r>
              <w:rPr>
                <w:rFonts w:hint="eastAsia" w:ascii="宋体" w:hAnsi="宋体" w:cs="宋体"/>
                <w:color w:val="000000"/>
                <w:sz w:val="28"/>
                <w:szCs w:val="28"/>
              </w:rPr>
              <w:t>分</w:t>
            </w:r>
            <w:r>
              <w:rPr>
                <w:rFonts w:ascii="宋体" w:hAnsi="宋体" w:cs="宋体"/>
                <w:color w:val="000000"/>
                <w:sz w:val="28"/>
                <w:szCs w:val="28"/>
              </w:rPr>
              <w:t>-45</w:t>
            </w:r>
            <w:r>
              <w:rPr>
                <w:rFonts w:hint="eastAsia" w:ascii="宋体" w:hAnsi="宋体" w:cs="宋体"/>
                <w:color w:val="000000"/>
                <w:sz w:val="28"/>
                <w:szCs w:val="28"/>
              </w:rPr>
              <w:t>分；</w:t>
            </w:r>
          </w:p>
          <w:p>
            <w:pPr>
              <w:spacing w:line="480" w:lineRule="exact"/>
              <w:textAlignment w:val="center"/>
              <w:rPr>
                <w:rFonts w:ascii="宋体" w:cs="宋体"/>
                <w:color w:val="000000"/>
                <w:sz w:val="28"/>
                <w:szCs w:val="28"/>
              </w:rPr>
            </w:pPr>
            <w:r>
              <w:rPr>
                <w:rFonts w:hint="eastAsia" w:ascii="宋体" w:hAnsi="宋体" w:cs="宋体"/>
                <w:color w:val="000000"/>
                <w:sz w:val="28"/>
                <w:szCs w:val="28"/>
              </w:rPr>
              <w:t>方案较具体，操作性较强</w:t>
            </w:r>
            <w:r>
              <w:rPr>
                <w:rFonts w:ascii="宋体" w:hAnsi="宋体" w:cs="宋体"/>
                <w:color w:val="000000"/>
                <w:sz w:val="28"/>
                <w:szCs w:val="28"/>
              </w:rPr>
              <w:t xml:space="preserve">    20</w:t>
            </w:r>
            <w:r>
              <w:rPr>
                <w:rFonts w:hint="eastAsia" w:ascii="宋体" w:hAnsi="宋体" w:cs="宋体"/>
                <w:color w:val="000000"/>
                <w:sz w:val="28"/>
                <w:szCs w:val="28"/>
              </w:rPr>
              <w:t>分</w:t>
            </w:r>
            <w:r>
              <w:rPr>
                <w:rFonts w:ascii="宋体" w:hAnsi="宋体" w:cs="宋体"/>
                <w:color w:val="000000"/>
                <w:sz w:val="28"/>
                <w:szCs w:val="28"/>
              </w:rPr>
              <w:t>-35</w:t>
            </w:r>
            <w:r>
              <w:rPr>
                <w:rFonts w:hint="eastAsia" w:ascii="宋体" w:hAnsi="宋体" w:cs="宋体"/>
                <w:color w:val="000000"/>
                <w:sz w:val="28"/>
                <w:szCs w:val="28"/>
              </w:rPr>
              <w:t>分；</w:t>
            </w:r>
          </w:p>
          <w:p>
            <w:pPr>
              <w:spacing w:line="480" w:lineRule="exact"/>
              <w:textAlignment w:val="center"/>
              <w:rPr>
                <w:rFonts w:ascii="宋体" w:cs="宋体"/>
                <w:color w:val="000000"/>
                <w:sz w:val="28"/>
                <w:szCs w:val="28"/>
              </w:rPr>
            </w:pPr>
            <w:r>
              <w:rPr>
                <w:rFonts w:hint="eastAsia" w:ascii="宋体" w:hAnsi="宋体" w:cs="宋体"/>
                <w:color w:val="000000"/>
                <w:sz w:val="28"/>
                <w:szCs w:val="28"/>
              </w:rPr>
              <w:t>方案粗糙，操作性差</w:t>
            </w:r>
          </w:p>
          <w:p>
            <w:pPr>
              <w:spacing w:line="480" w:lineRule="exact"/>
              <w:textAlignment w:val="center"/>
              <w:rPr>
                <w:rFonts w:ascii="宋体" w:cs="宋体"/>
                <w:color w:val="000000"/>
                <w:sz w:val="28"/>
                <w:szCs w:val="28"/>
              </w:rPr>
            </w:pPr>
            <w:r>
              <w:rPr>
                <w:rFonts w:ascii="宋体" w:hAnsi="宋体" w:cs="宋体"/>
                <w:color w:val="000000"/>
                <w:sz w:val="28"/>
                <w:szCs w:val="28"/>
              </w:rPr>
              <w:t>10</w:t>
            </w:r>
            <w:r>
              <w:rPr>
                <w:rFonts w:hint="eastAsia" w:ascii="宋体" w:hAnsi="宋体" w:cs="宋体"/>
                <w:color w:val="000000"/>
                <w:sz w:val="28"/>
                <w:szCs w:val="28"/>
              </w:rPr>
              <w:t>分</w:t>
            </w:r>
            <w:r>
              <w:rPr>
                <w:rFonts w:ascii="宋体" w:hAnsi="宋体" w:cs="宋体"/>
                <w:color w:val="000000"/>
                <w:sz w:val="28"/>
                <w:szCs w:val="28"/>
              </w:rPr>
              <w:t>—20</w:t>
            </w:r>
            <w:r>
              <w:rPr>
                <w:rFonts w:hint="eastAsia" w:ascii="宋体" w:hAnsi="宋体" w:cs="宋体"/>
                <w:color w:val="000000"/>
                <w:sz w:val="28"/>
                <w:szCs w:val="28"/>
              </w:rPr>
              <w:t>分</w:t>
            </w:r>
            <w:r>
              <w:rPr>
                <w:rFonts w:hint="eastAsia" w:ascii="宋体" w:hAnsi="宋体" w:cs="宋体"/>
                <w:color w:val="000000"/>
                <w:sz w:val="28"/>
                <w:szCs w:val="28"/>
                <w:lang w:eastAsia="zh-CN"/>
              </w:rPr>
              <w:t>；</w:t>
            </w:r>
          </w:p>
          <w:p>
            <w:pPr>
              <w:spacing w:line="480" w:lineRule="exact"/>
              <w:textAlignment w:val="center"/>
              <w:rPr>
                <w:rFonts w:ascii="宋体" w:cs="宋体"/>
                <w:color w:val="000000"/>
                <w:sz w:val="28"/>
                <w:szCs w:val="28"/>
              </w:rPr>
            </w:pPr>
            <w:r>
              <w:rPr>
                <w:rFonts w:hint="eastAsia" w:ascii="宋体" w:hAnsi="宋体" w:cs="宋体"/>
                <w:color w:val="000000"/>
                <w:sz w:val="28"/>
                <w:szCs w:val="28"/>
              </w:rPr>
              <w:t>方案不具操作性</w:t>
            </w:r>
          </w:p>
          <w:p>
            <w:pPr>
              <w:spacing w:line="480" w:lineRule="exact"/>
              <w:textAlignment w:val="center"/>
              <w:rPr>
                <w:rFonts w:ascii="宋体" w:cs="宋体"/>
                <w:color w:val="000000"/>
                <w:sz w:val="28"/>
                <w:szCs w:val="28"/>
              </w:rPr>
            </w:pPr>
            <w:r>
              <w:rPr>
                <w:rFonts w:ascii="宋体" w:cs="宋体"/>
                <w:color w:val="000000"/>
                <w:sz w:val="28"/>
                <w:szCs w:val="28"/>
              </w:rPr>
              <w:t>0</w:t>
            </w:r>
            <w:r>
              <w:rPr>
                <w:rFonts w:hint="eastAsia" w:ascii="宋体" w:hAnsi="宋体" w:cs="宋体"/>
                <w:color w:val="000000"/>
                <w:sz w:val="28"/>
                <w:szCs w:val="28"/>
              </w:rPr>
              <w:t>分</w:t>
            </w:r>
            <w:r>
              <w:rPr>
                <w:rFonts w:ascii="宋体" w:hAnsi="宋体" w:cs="宋体"/>
                <w:color w:val="000000"/>
                <w:sz w:val="28"/>
                <w:szCs w:val="28"/>
              </w:rPr>
              <w:t>—10</w:t>
            </w:r>
            <w:r>
              <w:rPr>
                <w:rFonts w:hint="eastAsia" w:ascii="宋体" w:hAnsi="宋体" w:cs="宋体"/>
                <w:color w:val="000000"/>
                <w:sz w:val="28"/>
                <w:szCs w:val="28"/>
              </w:rPr>
              <w:t>分</w:t>
            </w:r>
            <w:r>
              <w:rPr>
                <w:rFonts w:hint="eastAsia" w:ascii="宋体" w:hAnsi="宋体" w:cs="宋体"/>
                <w:color w:val="000000"/>
                <w:sz w:val="28"/>
                <w:szCs w:val="28"/>
                <w:lang w:eastAsia="zh-CN"/>
              </w:rPr>
              <w:t>。</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p>
        </w:tc>
      </w:tr>
      <w:tr>
        <w:tblPrEx>
          <w:tblLayout w:type="fixed"/>
          <w:tblCellMar>
            <w:top w:w="15" w:type="dxa"/>
            <w:left w:w="15" w:type="dxa"/>
            <w:bottom w:w="15" w:type="dxa"/>
            <w:right w:w="15" w:type="dxa"/>
          </w:tblCellMar>
        </w:tblPrEx>
        <w:trPr>
          <w:trHeight w:val="1134" w:hRule="atLeast"/>
        </w:trPr>
        <w:tc>
          <w:tcPr>
            <w:tcW w:w="700" w:type="dxa"/>
            <w:vMerge w:val="continue"/>
            <w:tcBorders>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p>
        </w:tc>
        <w:tc>
          <w:tcPr>
            <w:tcW w:w="932" w:type="dxa"/>
            <w:vMerge w:val="continue"/>
            <w:tcBorders>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服务团队</w:t>
            </w:r>
          </w:p>
        </w:tc>
        <w:tc>
          <w:tcPr>
            <w:tcW w:w="87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15</w:t>
            </w:r>
            <w:r>
              <w:rPr>
                <w:rFonts w:hint="eastAsia" w:ascii="宋体" w:hAnsi="宋体" w:cs="宋体"/>
                <w:color w:val="000000"/>
                <w:sz w:val="28"/>
                <w:szCs w:val="28"/>
              </w:rPr>
              <w:t>分</w:t>
            </w:r>
          </w:p>
        </w:tc>
        <w:tc>
          <w:tcPr>
            <w:tcW w:w="3681"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hint="eastAsia" w:ascii="宋体" w:hAnsi="宋体" w:cs="宋体"/>
                <w:color w:val="000000"/>
                <w:sz w:val="28"/>
                <w:szCs w:val="28"/>
              </w:rPr>
            </w:pPr>
            <w:r>
              <w:rPr>
                <w:rFonts w:hint="eastAsia" w:ascii="宋体" w:hAnsi="宋体" w:cs="宋体"/>
                <w:color w:val="000000"/>
                <w:sz w:val="28"/>
                <w:szCs w:val="28"/>
                <w:lang w:eastAsia="zh-CN"/>
              </w:rPr>
              <w:t>从为项目配备的</w:t>
            </w:r>
            <w:r>
              <w:rPr>
                <w:rFonts w:hint="eastAsia" w:ascii="宋体" w:hAnsi="宋体" w:cs="宋体"/>
                <w:color w:val="000000"/>
                <w:sz w:val="28"/>
                <w:szCs w:val="28"/>
              </w:rPr>
              <w:t>团队成员数量、学历、从业经验、执业资格、配置</w:t>
            </w:r>
            <w:r>
              <w:rPr>
                <w:rFonts w:hint="eastAsia" w:ascii="宋体" w:hAnsi="宋体" w:cs="宋体"/>
                <w:color w:val="000000"/>
                <w:sz w:val="28"/>
                <w:szCs w:val="28"/>
                <w:lang w:eastAsia="zh-CN"/>
              </w:rPr>
              <w:t>合理</w:t>
            </w:r>
            <w:r>
              <w:rPr>
                <w:rFonts w:hint="eastAsia" w:ascii="宋体" w:hAnsi="宋体" w:cs="宋体"/>
                <w:color w:val="000000"/>
                <w:sz w:val="28"/>
                <w:szCs w:val="28"/>
              </w:rPr>
              <w:t>性等角度考量</w:t>
            </w:r>
            <w:r>
              <w:rPr>
                <w:rFonts w:hint="eastAsia" w:ascii="宋体" w:hAnsi="宋体" w:cs="宋体"/>
                <w:color w:val="000000"/>
                <w:sz w:val="28"/>
                <w:szCs w:val="28"/>
                <w:lang w:eastAsia="zh-CN"/>
              </w:rPr>
              <w:t>：</w:t>
            </w:r>
          </w:p>
          <w:p>
            <w:pPr>
              <w:spacing w:line="480" w:lineRule="exact"/>
              <w:textAlignment w:val="center"/>
              <w:rPr>
                <w:rFonts w:hint="eastAsia" w:ascii="宋体" w:hAnsi="宋体" w:cs="宋体"/>
                <w:color w:val="000000"/>
                <w:sz w:val="28"/>
                <w:szCs w:val="28"/>
                <w:lang w:eastAsia="zh-CN"/>
              </w:rPr>
            </w:pPr>
            <w:r>
              <w:rPr>
                <w:rFonts w:hint="eastAsia" w:ascii="宋体" w:hAnsi="宋体" w:cs="宋体"/>
                <w:color w:val="000000"/>
                <w:sz w:val="28"/>
                <w:szCs w:val="28"/>
                <w:lang w:eastAsia="zh-CN"/>
              </w:rPr>
              <w:t>服务团队优秀</w:t>
            </w:r>
          </w:p>
          <w:p>
            <w:pPr>
              <w:spacing w:line="480" w:lineRule="exact"/>
              <w:textAlignment w:val="center"/>
              <w:rPr>
                <w:rFonts w:hint="eastAsia" w:ascii="宋体" w:hAnsi="宋体" w:cs="宋体"/>
                <w:color w:val="000000"/>
                <w:sz w:val="28"/>
                <w:szCs w:val="28"/>
                <w:lang w:val="en-US" w:eastAsia="zh-CN"/>
              </w:rPr>
            </w:pPr>
            <w:r>
              <w:rPr>
                <w:rFonts w:hint="eastAsia" w:ascii="宋体" w:hAnsi="宋体" w:cs="宋体"/>
                <w:color w:val="000000"/>
                <w:sz w:val="28"/>
                <w:szCs w:val="28"/>
                <w:lang w:val="en-US" w:eastAsia="zh-CN"/>
              </w:rPr>
              <w:t>10-15分；</w:t>
            </w:r>
          </w:p>
          <w:p>
            <w:pPr>
              <w:spacing w:line="480" w:lineRule="exact"/>
              <w:textAlignment w:val="center"/>
              <w:rPr>
                <w:rFonts w:hint="eastAsia" w:ascii="宋体" w:hAnsi="宋体" w:cs="宋体"/>
                <w:color w:val="000000"/>
                <w:sz w:val="28"/>
                <w:szCs w:val="28"/>
                <w:lang w:val="en-US" w:eastAsia="zh-CN"/>
              </w:rPr>
            </w:pPr>
            <w:r>
              <w:rPr>
                <w:rFonts w:hint="eastAsia" w:ascii="宋体" w:hAnsi="宋体" w:cs="宋体"/>
                <w:color w:val="000000"/>
                <w:sz w:val="28"/>
                <w:szCs w:val="28"/>
                <w:lang w:val="en-US" w:eastAsia="zh-CN"/>
              </w:rPr>
              <w:t>服务团队良好</w:t>
            </w:r>
          </w:p>
          <w:p>
            <w:pPr>
              <w:spacing w:line="480" w:lineRule="exact"/>
              <w:textAlignment w:val="center"/>
              <w:rPr>
                <w:rFonts w:hint="eastAsia" w:ascii="宋体" w:hAnsi="宋体" w:cs="宋体"/>
                <w:color w:val="000000"/>
                <w:sz w:val="28"/>
                <w:szCs w:val="28"/>
                <w:lang w:val="en-US" w:eastAsia="zh-CN"/>
              </w:rPr>
            </w:pPr>
            <w:r>
              <w:rPr>
                <w:rFonts w:hint="eastAsia" w:ascii="宋体" w:hAnsi="宋体" w:cs="宋体"/>
                <w:color w:val="000000"/>
                <w:sz w:val="28"/>
                <w:szCs w:val="28"/>
                <w:lang w:val="en-US" w:eastAsia="zh-CN"/>
              </w:rPr>
              <w:t>5-10分；</w:t>
            </w:r>
          </w:p>
          <w:p>
            <w:pPr>
              <w:spacing w:line="480" w:lineRule="exact"/>
              <w:textAlignment w:val="center"/>
              <w:rPr>
                <w:rFonts w:hint="eastAsia" w:ascii="宋体" w:hAnsi="宋体" w:cs="宋体"/>
                <w:color w:val="000000"/>
                <w:sz w:val="28"/>
                <w:szCs w:val="28"/>
                <w:lang w:val="en-US" w:eastAsia="zh-CN"/>
              </w:rPr>
            </w:pPr>
            <w:r>
              <w:rPr>
                <w:rFonts w:hint="eastAsia" w:ascii="宋体" w:hAnsi="宋体" w:cs="宋体"/>
                <w:color w:val="000000"/>
                <w:sz w:val="28"/>
                <w:szCs w:val="28"/>
                <w:lang w:val="en-US" w:eastAsia="zh-CN"/>
              </w:rPr>
              <w:t>服务团队一般</w:t>
            </w:r>
          </w:p>
          <w:p>
            <w:pPr>
              <w:spacing w:line="480" w:lineRule="exact"/>
              <w:textAlignment w:val="center"/>
              <w:rPr>
                <w:rFonts w:ascii="宋体" w:cs="宋体"/>
                <w:color w:val="000000"/>
                <w:sz w:val="28"/>
                <w:szCs w:val="28"/>
              </w:rPr>
            </w:pPr>
            <w:r>
              <w:rPr>
                <w:rFonts w:hint="eastAsia" w:ascii="宋体" w:hAnsi="宋体" w:cs="宋体"/>
                <w:color w:val="000000"/>
                <w:sz w:val="28"/>
                <w:szCs w:val="28"/>
                <w:lang w:val="en-US" w:eastAsia="zh-CN"/>
              </w:rPr>
              <w:t>0-5分。</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p>
        </w:tc>
      </w:tr>
      <w:tr>
        <w:tblPrEx>
          <w:tblLayout w:type="fixed"/>
          <w:tblCellMar>
            <w:top w:w="15" w:type="dxa"/>
            <w:left w:w="15" w:type="dxa"/>
            <w:bottom w:w="15" w:type="dxa"/>
            <w:right w:w="15" w:type="dxa"/>
          </w:tblCellMar>
        </w:tblPrEx>
        <w:trPr>
          <w:trHeight w:val="2710" w:hRule="atLeast"/>
        </w:trPr>
        <w:tc>
          <w:tcPr>
            <w:tcW w:w="700"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3</w:t>
            </w:r>
          </w:p>
        </w:tc>
        <w:tc>
          <w:tcPr>
            <w:tcW w:w="2496" w:type="dxa"/>
            <w:gridSpan w:val="2"/>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业绩</w:t>
            </w:r>
          </w:p>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15%</w:t>
            </w:r>
            <w:r>
              <w:rPr>
                <w:rFonts w:hint="eastAsia" w:ascii="宋体" w:hAnsi="宋体" w:cs="宋体"/>
                <w:color w:val="000000"/>
                <w:sz w:val="28"/>
                <w:szCs w:val="28"/>
              </w:rPr>
              <w:t>）</w:t>
            </w:r>
            <w:r>
              <w:rPr>
                <w:rFonts w:ascii="宋体" w:hAnsi="宋体" w:cs="宋体"/>
                <w:color w:val="000000"/>
                <w:sz w:val="28"/>
                <w:szCs w:val="28"/>
              </w:rPr>
              <w:t xml:space="preserve"> </w:t>
            </w:r>
          </w:p>
        </w:tc>
        <w:tc>
          <w:tcPr>
            <w:tcW w:w="87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15</w:t>
            </w:r>
            <w:r>
              <w:rPr>
                <w:rFonts w:hint="eastAsia" w:ascii="宋体" w:hAnsi="宋体" w:cs="宋体"/>
                <w:color w:val="000000"/>
                <w:sz w:val="28"/>
                <w:szCs w:val="28"/>
              </w:rPr>
              <w:t>分</w:t>
            </w:r>
          </w:p>
        </w:tc>
        <w:tc>
          <w:tcPr>
            <w:tcW w:w="3681"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r>
              <w:rPr>
                <w:rFonts w:ascii="宋体" w:hAnsi="宋体" w:cs="宋体"/>
                <w:color w:val="000000"/>
                <w:sz w:val="28"/>
                <w:szCs w:val="28"/>
              </w:rPr>
              <w:t>2013</w:t>
            </w:r>
            <w:r>
              <w:rPr>
                <w:rFonts w:hint="eastAsia" w:ascii="宋体" w:hAnsi="宋体" w:cs="宋体"/>
                <w:color w:val="000000"/>
                <w:sz w:val="28"/>
                <w:szCs w:val="28"/>
              </w:rPr>
              <w:t>年起，作为供应商（主要实施单位）每承接一个相关项目得</w:t>
            </w:r>
            <w:r>
              <w:rPr>
                <w:rFonts w:ascii="宋体" w:hAnsi="宋体" w:cs="宋体"/>
                <w:color w:val="000000"/>
                <w:sz w:val="28"/>
                <w:szCs w:val="28"/>
              </w:rPr>
              <w:t>3</w:t>
            </w:r>
            <w:r>
              <w:rPr>
                <w:rFonts w:hint="eastAsia" w:ascii="宋体" w:hAnsi="宋体" w:cs="宋体"/>
                <w:color w:val="000000"/>
                <w:sz w:val="28"/>
                <w:szCs w:val="28"/>
              </w:rPr>
              <w:t>分。</w:t>
            </w:r>
          </w:p>
          <w:p>
            <w:pPr>
              <w:spacing w:line="480" w:lineRule="exact"/>
              <w:textAlignment w:val="center"/>
              <w:rPr>
                <w:rFonts w:ascii="宋体" w:cs="宋体"/>
                <w:color w:val="000000"/>
                <w:sz w:val="28"/>
                <w:szCs w:val="28"/>
              </w:rPr>
            </w:pPr>
            <w:r>
              <w:rPr>
                <w:rFonts w:hint="eastAsia" w:ascii="宋体" w:hAnsi="宋体" w:cs="宋体"/>
                <w:color w:val="000000"/>
              </w:rPr>
              <w:t>注：本项最多提供</w:t>
            </w:r>
            <w:r>
              <w:rPr>
                <w:rFonts w:ascii="宋体" w:hAnsi="宋体" w:cs="宋体"/>
                <w:color w:val="000000"/>
              </w:rPr>
              <w:t>5</w:t>
            </w:r>
            <w:r>
              <w:rPr>
                <w:rFonts w:hint="eastAsia" w:ascii="宋体" w:hAnsi="宋体" w:cs="宋体"/>
                <w:color w:val="000000"/>
              </w:rPr>
              <w:t>个案例，不超过</w:t>
            </w:r>
            <w:r>
              <w:rPr>
                <w:rFonts w:ascii="宋体" w:hAnsi="宋体" w:cs="宋体"/>
                <w:color w:val="000000"/>
              </w:rPr>
              <w:t>15</w:t>
            </w:r>
            <w:r>
              <w:rPr>
                <w:rFonts w:hint="eastAsia" w:ascii="宋体" w:hAnsi="宋体" w:cs="宋体"/>
                <w:color w:val="000000"/>
              </w:rPr>
              <w:t>分</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r>
              <w:rPr>
                <w:rFonts w:hint="eastAsia" w:ascii="宋体" w:hAnsi="宋体" w:cs="宋体"/>
                <w:color w:val="000000"/>
                <w:sz w:val="28"/>
                <w:szCs w:val="28"/>
              </w:rPr>
              <w:t>以销售合同或中标通知书为准</w:t>
            </w:r>
          </w:p>
        </w:tc>
      </w:tr>
      <w:tr>
        <w:tblPrEx>
          <w:tblLayout w:type="fixed"/>
          <w:tblCellMar>
            <w:top w:w="15" w:type="dxa"/>
            <w:left w:w="15" w:type="dxa"/>
            <w:bottom w:w="15" w:type="dxa"/>
            <w:right w:w="15" w:type="dxa"/>
          </w:tblCellMar>
        </w:tblPrEx>
        <w:trPr>
          <w:trHeight w:val="2184" w:hRule="atLeast"/>
        </w:trPr>
        <w:tc>
          <w:tcPr>
            <w:tcW w:w="700"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4</w:t>
            </w:r>
          </w:p>
        </w:tc>
        <w:tc>
          <w:tcPr>
            <w:tcW w:w="2496" w:type="dxa"/>
            <w:gridSpan w:val="2"/>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投标文件的</w:t>
            </w:r>
            <w:r>
              <w:rPr>
                <w:rFonts w:ascii="宋体" w:cs="宋体"/>
                <w:color w:val="000000"/>
                <w:sz w:val="28"/>
                <w:szCs w:val="28"/>
              </w:rPr>
              <w:br w:type="textWrapping"/>
            </w:r>
            <w:r>
              <w:rPr>
                <w:rFonts w:hint="eastAsia" w:ascii="宋体" w:hAnsi="宋体" w:cs="宋体"/>
                <w:color w:val="000000"/>
                <w:sz w:val="28"/>
                <w:szCs w:val="28"/>
              </w:rPr>
              <w:t>规范性</w:t>
            </w:r>
          </w:p>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5%</w:t>
            </w:r>
            <w:r>
              <w:rPr>
                <w:rFonts w:hint="eastAsia" w:ascii="宋体" w:hAnsi="宋体" w:cs="宋体"/>
                <w:color w:val="000000"/>
                <w:sz w:val="28"/>
                <w:szCs w:val="28"/>
              </w:rPr>
              <w:t>）</w:t>
            </w:r>
          </w:p>
        </w:tc>
        <w:tc>
          <w:tcPr>
            <w:tcW w:w="87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5</w:t>
            </w:r>
            <w:r>
              <w:rPr>
                <w:rFonts w:hint="eastAsia" w:ascii="宋体" w:hAnsi="宋体" w:cs="宋体"/>
                <w:color w:val="000000"/>
                <w:sz w:val="28"/>
                <w:szCs w:val="28"/>
              </w:rPr>
              <w:t>分</w:t>
            </w:r>
          </w:p>
        </w:tc>
        <w:tc>
          <w:tcPr>
            <w:tcW w:w="3681"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r>
              <w:rPr>
                <w:rFonts w:hint="eastAsia" w:ascii="宋体" w:hAnsi="宋体" w:cs="宋体"/>
                <w:color w:val="000000"/>
                <w:sz w:val="28"/>
                <w:szCs w:val="28"/>
              </w:rPr>
              <w:t>根据文件的编制规范性进行评审，每一处细微偏差扣</w:t>
            </w:r>
            <w:r>
              <w:rPr>
                <w:rFonts w:ascii="宋体" w:hAnsi="宋体" w:cs="宋体"/>
                <w:color w:val="000000"/>
                <w:sz w:val="28"/>
                <w:szCs w:val="28"/>
              </w:rPr>
              <w:t>1</w:t>
            </w:r>
            <w:r>
              <w:rPr>
                <w:rFonts w:hint="eastAsia" w:ascii="宋体" w:hAnsi="宋体" w:cs="宋体"/>
                <w:color w:val="000000"/>
                <w:sz w:val="28"/>
                <w:szCs w:val="28"/>
              </w:rPr>
              <w:t>分直至扣完此项得分为止。</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line="480" w:lineRule="exact"/>
              <w:textAlignment w:val="center"/>
              <w:rPr>
                <w:rFonts w:ascii="宋体" w:cs="宋体"/>
                <w:color w:val="000000"/>
                <w:sz w:val="28"/>
                <w:szCs w:val="28"/>
              </w:rPr>
            </w:pPr>
          </w:p>
        </w:tc>
      </w:tr>
      <w:tr>
        <w:tblPrEx>
          <w:tblLayout w:type="fixed"/>
          <w:tblCellMar>
            <w:top w:w="15" w:type="dxa"/>
            <w:left w:w="15" w:type="dxa"/>
            <w:bottom w:w="15" w:type="dxa"/>
            <w:right w:w="15" w:type="dxa"/>
          </w:tblCellMar>
        </w:tblPrEx>
        <w:trPr>
          <w:trHeight w:val="630" w:hRule="atLeast"/>
        </w:trPr>
        <w:tc>
          <w:tcPr>
            <w:tcW w:w="3196" w:type="dxa"/>
            <w:gridSpan w:val="3"/>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hint="eastAsia" w:ascii="宋体" w:hAnsi="宋体" w:cs="宋体"/>
                <w:color w:val="000000"/>
                <w:sz w:val="28"/>
                <w:szCs w:val="28"/>
              </w:rPr>
              <w:t>合</w:t>
            </w:r>
            <w:r>
              <w:rPr>
                <w:rFonts w:ascii="宋体" w:hAnsi="宋体" w:cs="宋体"/>
                <w:color w:val="000000"/>
                <w:sz w:val="28"/>
                <w:szCs w:val="28"/>
              </w:rPr>
              <w:t xml:space="preserve">    </w:t>
            </w:r>
            <w:r>
              <w:rPr>
                <w:rFonts w:hint="eastAsia" w:ascii="宋体" w:hAnsi="宋体" w:cs="宋体"/>
                <w:color w:val="000000"/>
                <w:sz w:val="28"/>
                <w:szCs w:val="28"/>
              </w:rPr>
              <w:t>计</w:t>
            </w:r>
          </w:p>
        </w:tc>
        <w:tc>
          <w:tcPr>
            <w:tcW w:w="5758" w:type="dxa"/>
            <w:gridSpan w:val="3"/>
            <w:tcBorders>
              <w:top w:val="single" w:color="000000" w:sz="4" w:space="0"/>
              <w:left w:val="single" w:color="000000" w:sz="4" w:space="0"/>
              <w:bottom w:val="single" w:color="000000" w:sz="4" w:space="0"/>
              <w:right w:val="single" w:color="000000" w:sz="4" w:space="0"/>
            </w:tcBorders>
            <w:vAlign w:val="center"/>
          </w:tcPr>
          <w:p>
            <w:pPr>
              <w:spacing w:line="480" w:lineRule="exact"/>
              <w:jc w:val="center"/>
              <w:textAlignment w:val="center"/>
              <w:rPr>
                <w:rFonts w:ascii="宋体" w:cs="宋体"/>
                <w:color w:val="000000"/>
                <w:sz w:val="28"/>
                <w:szCs w:val="28"/>
              </w:rPr>
            </w:pPr>
            <w:r>
              <w:rPr>
                <w:rFonts w:ascii="宋体" w:hAnsi="宋体" w:cs="宋体"/>
                <w:color w:val="000000"/>
                <w:sz w:val="28"/>
                <w:szCs w:val="28"/>
              </w:rPr>
              <w:t>100</w:t>
            </w:r>
            <w:r>
              <w:rPr>
                <w:rFonts w:hint="eastAsia" w:ascii="宋体" w:hAnsi="宋体" w:cs="宋体"/>
                <w:color w:val="000000"/>
                <w:sz w:val="28"/>
                <w:szCs w:val="28"/>
              </w:rPr>
              <w:t>分</w:t>
            </w:r>
          </w:p>
        </w:tc>
      </w:tr>
    </w:tbl>
    <w:p>
      <w:pPr/>
    </w:p>
    <w:sectPr>
      <w:headerReference r:id="rId5" w:type="first"/>
      <w:footerReference r:id="rId8" w:type="first"/>
      <w:headerReference r:id="rId3" w:type="default"/>
      <w:footerReference r:id="rId6" w:type="default"/>
      <w:headerReference r:id="rId4" w:type="even"/>
      <w:footerReference r:id="rId7" w:type="even"/>
      <w:pgSz w:w="11906" w:h="16838"/>
      <w:pgMar w:top="1531" w:right="1531" w:bottom="1531" w:left="1531"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方正黑体_GBK">
    <w:altName w:val="微软雅黑"/>
    <w:panose1 w:val="00000000000000000000"/>
    <w:charset w:val="86"/>
    <w:family w:val="auto"/>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10</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C57DA"/>
    <w:multiLevelType w:val="singleLevel"/>
    <w:tmpl w:val="578C57DA"/>
    <w:lvl w:ilvl="0" w:tentative="0">
      <w:start w:val="5"/>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2E55A09"/>
    <w:rsid w:val="0001178A"/>
    <w:rsid w:val="000879D0"/>
    <w:rsid w:val="000A26E8"/>
    <w:rsid w:val="001970A1"/>
    <w:rsid w:val="001A1914"/>
    <w:rsid w:val="001F67AC"/>
    <w:rsid w:val="002171F0"/>
    <w:rsid w:val="00223B25"/>
    <w:rsid w:val="002A654C"/>
    <w:rsid w:val="002D3DE8"/>
    <w:rsid w:val="00324982"/>
    <w:rsid w:val="0037205D"/>
    <w:rsid w:val="003A6A87"/>
    <w:rsid w:val="00450C94"/>
    <w:rsid w:val="004D75F3"/>
    <w:rsid w:val="006009DC"/>
    <w:rsid w:val="0069164A"/>
    <w:rsid w:val="006959A7"/>
    <w:rsid w:val="00696D7B"/>
    <w:rsid w:val="006A69CC"/>
    <w:rsid w:val="006B297E"/>
    <w:rsid w:val="00751D5D"/>
    <w:rsid w:val="00776EBA"/>
    <w:rsid w:val="007A017A"/>
    <w:rsid w:val="007A3695"/>
    <w:rsid w:val="007B11F7"/>
    <w:rsid w:val="00801CEE"/>
    <w:rsid w:val="00845C8E"/>
    <w:rsid w:val="00864581"/>
    <w:rsid w:val="009114EC"/>
    <w:rsid w:val="0095744A"/>
    <w:rsid w:val="00A05AE5"/>
    <w:rsid w:val="00AD0F01"/>
    <w:rsid w:val="00BA58E4"/>
    <w:rsid w:val="00BE3DDB"/>
    <w:rsid w:val="00C341AE"/>
    <w:rsid w:val="00C7655E"/>
    <w:rsid w:val="00CE3F94"/>
    <w:rsid w:val="00E8374E"/>
    <w:rsid w:val="00EB3399"/>
    <w:rsid w:val="00F24CEC"/>
    <w:rsid w:val="00F527F7"/>
    <w:rsid w:val="00FE37B1"/>
    <w:rsid w:val="078E6CCD"/>
    <w:rsid w:val="0E90496C"/>
    <w:rsid w:val="169A2F75"/>
    <w:rsid w:val="18A64D44"/>
    <w:rsid w:val="19EC22EE"/>
    <w:rsid w:val="31971F0D"/>
    <w:rsid w:val="3A5F060C"/>
    <w:rsid w:val="3D150AC9"/>
    <w:rsid w:val="569913D7"/>
    <w:rsid w:val="571B2C8C"/>
    <w:rsid w:val="576F4996"/>
    <w:rsid w:val="5F9F216C"/>
    <w:rsid w:val="651A3030"/>
    <w:rsid w:val="65A770F2"/>
    <w:rsid w:val="664B5C77"/>
    <w:rsid w:val="6A6575E9"/>
    <w:rsid w:val="6F27447E"/>
    <w:rsid w:val="72E55A09"/>
    <w:rsid w:val="78703223"/>
    <w:rsid w:val="7A4C6C24"/>
    <w:rsid w:val="7DEE4307"/>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0"/>
      <w:sz w:val="24"/>
      <w:szCs w:val="24"/>
      <w:lang w:val="en-US" w:eastAsia="zh-CN" w:bidi="ar-SA"/>
    </w:rPr>
  </w:style>
  <w:style w:type="paragraph" w:styleId="2">
    <w:name w:val="heading 1"/>
    <w:basedOn w:val="1"/>
    <w:next w:val="1"/>
    <w:link w:val="8"/>
    <w:qFormat/>
    <w:uiPriority w:val="99"/>
    <w:pPr>
      <w:keepNext/>
      <w:keepLines/>
      <w:spacing w:line="576" w:lineRule="auto"/>
      <w:outlineLvl w:val="0"/>
    </w:pPr>
    <w:rPr>
      <w:b/>
      <w:kern w:val="44"/>
      <w:sz w:val="44"/>
    </w:rPr>
  </w:style>
  <w:style w:type="paragraph" w:styleId="3">
    <w:name w:val="heading 2"/>
    <w:basedOn w:val="1"/>
    <w:next w:val="1"/>
    <w:link w:val="9"/>
    <w:qFormat/>
    <w:uiPriority w:val="99"/>
    <w:pPr>
      <w:keepNext/>
      <w:keepLines/>
      <w:spacing w:line="413" w:lineRule="auto"/>
      <w:outlineLvl w:val="1"/>
    </w:pPr>
    <w:rPr>
      <w:rFonts w:ascii="Arial" w:hAnsi="Arial" w:eastAsia="黑体"/>
      <w:b/>
      <w:sz w:val="32"/>
    </w:rPr>
  </w:style>
  <w:style w:type="character" w:default="1" w:styleId="6">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Heading 1 Char"/>
    <w:basedOn w:val="6"/>
    <w:link w:val="2"/>
    <w:qFormat/>
    <w:locked/>
    <w:uiPriority w:val="99"/>
    <w:rPr>
      <w:rFonts w:cs="Times New Roman"/>
      <w:b/>
      <w:bCs/>
      <w:kern w:val="44"/>
      <w:sz w:val="44"/>
      <w:szCs w:val="44"/>
    </w:rPr>
  </w:style>
  <w:style w:type="character" w:customStyle="1" w:styleId="9">
    <w:name w:val="Heading 2 Char"/>
    <w:basedOn w:val="6"/>
    <w:link w:val="3"/>
    <w:semiHidden/>
    <w:qFormat/>
    <w:locked/>
    <w:uiPriority w:val="99"/>
    <w:rPr>
      <w:rFonts w:ascii="Cambria" w:hAnsi="Cambria" w:eastAsia="宋体" w:cs="Times New Roman"/>
      <w:b/>
      <w:bCs/>
      <w:kern w:val="0"/>
      <w:sz w:val="32"/>
      <w:szCs w:val="32"/>
    </w:rPr>
  </w:style>
  <w:style w:type="character" w:customStyle="1" w:styleId="10">
    <w:name w:val="Footer Char"/>
    <w:basedOn w:val="6"/>
    <w:link w:val="4"/>
    <w:semiHidden/>
    <w:qFormat/>
    <w:locked/>
    <w:uiPriority w:val="99"/>
    <w:rPr>
      <w:rFonts w:cs="Times New Roman"/>
      <w:kern w:val="0"/>
      <w:sz w:val="18"/>
      <w:szCs w:val="18"/>
    </w:rPr>
  </w:style>
  <w:style w:type="character" w:customStyle="1" w:styleId="11">
    <w:name w:val="Header Char"/>
    <w:basedOn w:val="6"/>
    <w:link w:val="5"/>
    <w:semiHidden/>
    <w:qFormat/>
    <w:locked/>
    <w:uiPriority w:val="99"/>
    <w:rPr>
      <w:rFonts w:cs="Times New Roman"/>
      <w:kern w:val="0"/>
      <w:sz w:val="18"/>
      <w:szCs w:val="18"/>
    </w:rPr>
  </w:style>
  <w:style w:type="paragraph" w:customStyle="1" w:styleId="12">
    <w:name w:val="reader-word-layer reader-word-s1-1"/>
    <w:basedOn w:val="1"/>
    <w:qFormat/>
    <w:uiPriority w:val="99"/>
    <w:pPr>
      <w:spacing w:before="100" w:beforeAutospacing="1" w:after="100" w:afterAutospacing="1"/>
    </w:pPr>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503</Words>
  <Characters>2871</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2016-06-12T01:29:00Z</dcterms:created>
  <dc:creator>wilson</dc:creator>
  <cp:lastModifiedBy>wilson</cp:lastModifiedBy>
  <cp:lastPrinted>2016-08-22T07:12:00Z</cp:lastPrinted>
  <dcterms:modified xsi:type="dcterms:W3CDTF">2016-08-23T07:08:16Z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